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5D3409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Целевые значения критериев доступности и качества медицинской помощи, оказываемой в рамках Программы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Целевыми значениями критериев досту</w:t>
      </w:r>
      <w:r w:rsidR="0039163B" w:rsidRPr="005D3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пности медицинской помощи в 2023</w:t>
      </w:r>
      <w:r w:rsidRPr="005D3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 являются: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удовлетворенность населения доступностью медицинской помощи (процентов от числа опрошенных);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расходов на оказание медицинской помощи в условиях дневных стационаров в общих расходах на Программу;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доля расходов </w:t>
      </w:r>
      <w:proofErr w:type="gram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пациентов, получивших специализированную медицинскую помощь в стационарных условиях в федеральных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</w:t>
      </w:r>
      <w:r w:rsidR="0039163B"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скому населению;</w:t>
      </w:r>
    </w:p>
    <w:p w:rsidR="0039163B" w:rsidRPr="005D3409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заболеваниями,</w:t>
      </w:r>
    </w:p>
    <w:p w:rsidR="0039163B" w:rsidRPr="005D3409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граждан, обеспеченных лекарственными препаратами, в общем количестве льготных категорий граждан.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Целевыми значениями критериев ка</w:t>
      </w:r>
      <w:r w:rsidR="0039163B" w:rsidRPr="005D3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чества медицинской помощи в 2023 </w:t>
      </w:r>
      <w:r w:rsidRPr="005D3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году являются: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впервые выявленных заболеваний при профилакт</w:t>
      </w:r>
      <w:bookmarkStart w:id="0" w:name="_GoBack"/>
      <w:bookmarkEnd w:id="0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несовершеннолетних.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год;</w:t>
      </w:r>
    </w:p>
    <w:p w:rsidR="0039163B" w:rsidRPr="005D3409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доля пациентов с инфарктом миокарда, госпитализированных </w:t>
      </w:r>
      <w:proofErr w:type="gram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в первые</w:t>
      </w:r>
      <w:proofErr w:type="gram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доля пациентов с острым инфарктом миокарда, которым проведено </w:t>
      </w:r>
      <w:proofErr w:type="spell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стентирование</w:t>
      </w:r>
      <w:proofErr w:type="spell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</w:t>
      </w:r>
      <w:proofErr w:type="gram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тромболизис</w:t>
      </w:r>
      <w:proofErr w:type="spell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общем количестве </w:t>
      </w: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доля пациентов с острым инфарктом миокарда, которым проведена </w:t>
      </w:r>
      <w:proofErr w:type="spell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тромболитическая</w:t>
      </w:r>
      <w:proofErr w:type="spell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доля пациентов с острыми цереброваскулярными болезнями, госпитализированных </w:t>
      </w:r>
      <w:proofErr w:type="gram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в первые</w:t>
      </w:r>
      <w:proofErr w:type="gram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доля пациентов с острым ишемическим инсультом, которым проведена </w:t>
      </w:r>
      <w:proofErr w:type="spell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тромболитическая</w:t>
      </w:r>
      <w:proofErr w:type="spell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в первые</w:t>
      </w:r>
      <w:proofErr w:type="gram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часов от начала заболевания%;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доля пациентов с острым ишемическим инсультом, которым проведена </w:t>
      </w:r>
      <w:proofErr w:type="spell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тромболитическая</w:t>
      </w:r>
      <w:proofErr w:type="spell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помощи.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 (на 1 тыс. населения);</w:t>
      </w:r>
    </w:p>
    <w:p w:rsidR="0039163B" w:rsidRPr="005D3409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случаев госпитализации с диагнозом «Бронхиальная астма» на 100 тыс. населения в год;</w:t>
      </w:r>
    </w:p>
    <w:p w:rsidR="0039163B" w:rsidRPr="005D3409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случаев госпитализации с диагнозом «Хроническая </w:t>
      </w:r>
      <w:proofErr w:type="spell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обструктивная</w:t>
      </w:r>
      <w:proofErr w:type="spell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болезнь легких» на 100 тыс. населения в год;</w:t>
      </w:r>
    </w:p>
    <w:p w:rsidR="0039163B" w:rsidRPr="005D3409" w:rsidRDefault="0039163B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случаев госпитализации с диагнозом «Хроническая </w:t>
      </w:r>
      <w:r w:rsidR="00E020AC"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сердечная недостаточность</w:t>
      </w: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» на 100 тыс. населения в год;</w:t>
      </w:r>
    </w:p>
    <w:p w:rsidR="00E020AC" w:rsidRPr="005D3409" w:rsidRDefault="00E020AC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случаев госпитализации с диагнозом «Гипертоническая болезнь» на 100 тыс. населения в год;</w:t>
      </w:r>
    </w:p>
    <w:p w:rsidR="00E020AC" w:rsidRPr="005D3409" w:rsidRDefault="00E020AC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случаев госпитализации с диагнозом «Сахарный диабет» на 100 тыс. населения в год;</w:t>
      </w:r>
    </w:p>
    <w:p w:rsidR="00E020AC" w:rsidRPr="005D3409" w:rsidRDefault="00E020AC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доля пациентов, прооперированных в течени</w:t>
      </w:r>
      <w:proofErr w:type="gram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</w:t>
      </w:r>
      <w:r w:rsidR="00E020AC" w:rsidRPr="005D3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коэффициент выполнения функции врачебной должности;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показатель рационального использования коечного фонда;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коэффициент целевого использования коечного фонда;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коэффициент экономической эффективности использования коечного</w:t>
      </w:r>
    </w:p>
    <w:p w:rsidR="00781FF9" w:rsidRPr="005D3409" w:rsidRDefault="00781FF9" w:rsidP="0078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фонда;</w:t>
      </w:r>
    </w:p>
    <w:p w:rsidR="007B2D52" w:rsidRPr="00F410C3" w:rsidRDefault="00781FF9" w:rsidP="0072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- коэффициент финансовых затрат поликлиники (</w:t>
      </w:r>
      <w:proofErr w:type="spellStart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Кп</w:t>
      </w:r>
      <w:proofErr w:type="spellEnd"/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) и ст</w:t>
      </w:r>
      <w:r w:rsidR="0072505F"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ационара (Кс) </w:t>
      </w: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считается эффективным, если деятельност</w:t>
      </w:r>
      <w:r w:rsidR="0072505F"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ь поликлиники (</w:t>
      </w:r>
      <w:proofErr w:type="spellStart"/>
      <w:r w:rsidR="0072505F"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Кп</w:t>
      </w:r>
      <w:proofErr w:type="spellEnd"/>
      <w:r w:rsidR="0072505F"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стационара </w:t>
      </w: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(Кс) ниже коэффициента выполнения фун</w:t>
      </w:r>
      <w:r w:rsidR="0072505F"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кции врачебной должности (</w:t>
      </w:r>
      <w:proofErr w:type="spellStart"/>
      <w:r w:rsidR="0072505F"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="0072505F"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</w:t>
      </w:r>
      <w:r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коэффициента экономической эффективнос</w:t>
      </w:r>
      <w:r w:rsidR="0072505F" w:rsidRPr="005D3409">
        <w:rPr>
          <w:rFonts w:ascii="Times New Roman" w:hAnsi="Times New Roman" w:cs="Times New Roman"/>
          <w:color w:val="000000" w:themeColor="text1"/>
          <w:sz w:val="24"/>
          <w:szCs w:val="24"/>
        </w:rPr>
        <w:t>ти использования коечного ф</w:t>
      </w:r>
      <w:r w:rsidR="0072505F" w:rsidRPr="00F410C3">
        <w:rPr>
          <w:rFonts w:ascii="Times New Roman" w:hAnsi="Times New Roman" w:cs="Times New Roman"/>
          <w:color w:val="002060"/>
          <w:sz w:val="24"/>
          <w:szCs w:val="24"/>
        </w:rPr>
        <w:t xml:space="preserve">онда </w:t>
      </w:r>
      <w:r w:rsidRPr="00F410C3"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spellStart"/>
      <w:r w:rsidRPr="00F410C3">
        <w:rPr>
          <w:rFonts w:ascii="Times New Roman" w:hAnsi="Times New Roman" w:cs="Times New Roman"/>
          <w:color w:val="002060"/>
          <w:sz w:val="24"/>
          <w:szCs w:val="24"/>
        </w:rPr>
        <w:t>Кэ</w:t>
      </w:r>
      <w:proofErr w:type="spellEnd"/>
      <w:r w:rsidRPr="00F410C3">
        <w:rPr>
          <w:rFonts w:ascii="Times New Roman" w:hAnsi="Times New Roman" w:cs="Times New Roman"/>
          <w:color w:val="002060"/>
          <w:sz w:val="24"/>
          <w:szCs w:val="24"/>
        </w:rPr>
        <w:t>).</w:t>
      </w:r>
    </w:p>
    <w:sectPr w:rsidR="007B2D52" w:rsidRPr="00F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67"/>
    <w:rsid w:val="00043573"/>
    <w:rsid w:val="00346BC6"/>
    <w:rsid w:val="003665C5"/>
    <w:rsid w:val="0039163B"/>
    <w:rsid w:val="004D4FE0"/>
    <w:rsid w:val="005D3409"/>
    <w:rsid w:val="00620367"/>
    <w:rsid w:val="0072505F"/>
    <w:rsid w:val="00781FF9"/>
    <w:rsid w:val="007B2D52"/>
    <w:rsid w:val="00B54C92"/>
    <w:rsid w:val="00D66CB0"/>
    <w:rsid w:val="00E020AC"/>
    <w:rsid w:val="00F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Э.А.</dc:creator>
  <cp:keywords/>
  <dc:description/>
  <cp:lastModifiedBy>Ильина Э.А.</cp:lastModifiedBy>
  <cp:revision>10</cp:revision>
  <cp:lastPrinted>2023-01-25T05:19:00Z</cp:lastPrinted>
  <dcterms:created xsi:type="dcterms:W3CDTF">2021-02-15T13:14:00Z</dcterms:created>
  <dcterms:modified xsi:type="dcterms:W3CDTF">2023-01-25T05:19:00Z</dcterms:modified>
</cp:coreProperties>
</file>