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B7" w:rsidRDefault="001238D0">
      <w:pPr>
        <w:jc w:val="right"/>
        <w:rPr>
          <w:rStyle w:val="a3"/>
          <w:i w:val="0"/>
          <w:iCs w:val="0"/>
          <w:sz w:val="20"/>
          <w:szCs w:val="20"/>
        </w:rPr>
      </w:pPr>
      <w:r>
        <w:rPr>
          <w:rStyle w:val="a3"/>
          <w:i w:val="0"/>
          <w:iCs w:val="0"/>
          <w:sz w:val="20"/>
          <w:szCs w:val="20"/>
        </w:rPr>
        <w:t>Приложение № 29</w:t>
      </w:r>
    </w:p>
    <w:p w:rsidR="002E76B7" w:rsidRDefault="001238D0">
      <w:pPr>
        <w:jc w:val="right"/>
        <w:rPr>
          <w:rStyle w:val="a3"/>
          <w:i w:val="0"/>
          <w:iCs w:val="0"/>
          <w:sz w:val="20"/>
          <w:szCs w:val="20"/>
        </w:rPr>
      </w:pPr>
      <w:r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2E76B7" w:rsidRDefault="001238D0">
      <w:pPr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  <w:r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2E76B7" w:rsidRDefault="002E76B7">
      <w:pPr>
        <w:pStyle w:val="2"/>
        <w:rPr>
          <w:rStyle w:val="a3"/>
          <w:i w:val="0"/>
          <w:iCs w:val="0"/>
        </w:rPr>
      </w:pPr>
    </w:p>
    <w:p w:rsidR="002E76B7" w:rsidRDefault="001238D0" w:rsidP="00DE79A1">
      <w:pPr>
        <w:pStyle w:val="1"/>
        <w:jc w:val="center"/>
        <w:rPr>
          <w:lang w:eastAsia="ru-RU"/>
        </w:rPr>
      </w:pPr>
      <w:bookmarkStart w:id="0" w:name="_Приложение_№_29."/>
      <w:bookmarkStart w:id="1" w:name="_Toc533502300"/>
      <w:bookmarkEnd w:id="0"/>
      <w:r>
        <w:rPr>
          <w:rStyle w:val="a3"/>
          <w:i w:val="0"/>
          <w:iCs w:val="0"/>
        </w:rPr>
        <w:t>Приложение № 29. «</w:t>
      </w:r>
      <w:bookmarkEnd w:id="1"/>
      <w:r w:rsidR="00DE7ECF">
        <w:rPr>
          <w:lang w:eastAsia="ru-RU"/>
        </w:rPr>
        <w:t xml:space="preserve">Учет </w:t>
      </w:r>
      <w:r w:rsidR="00AD4430" w:rsidRPr="00AD4430">
        <w:t>лекарственных препаратов</w:t>
      </w:r>
      <w:r w:rsidR="00F941AA">
        <w:rPr>
          <w:lang w:eastAsia="ru-RU"/>
        </w:rPr>
        <w:t xml:space="preserve"> и </w:t>
      </w:r>
      <w:r w:rsidR="001D13E1">
        <w:rPr>
          <w:lang w:eastAsia="ru-RU"/>
        </w:rPr>
        <w:t>медицинских материалов</w:t>
      </w:r>
      <w:r>
        <w:rPr>
          <w:lang w:eastAsia="ru-RU"/>
        </w:rPr>
        <w:t>»</w:t>
      </w:r>
    </w:p>
    <w:p w:rsidR="002E76B7" w:rsidRDefault="002E76B7">
      <w:pPr>
        <w:pStyle w:val="consplusnormal"/>
        <w:ind w:firstLine="540"/>
        <w:jc w:val="both"/>
      </w:pPr>
    </w:p>
    <w:p w:rsidR="007743C0" w:rsidRPr="00BE10CF" w:rsidRDefault="001238D0" w:rsidP="00BE10CF">
      <w:pPr>
        <w:spacing w:beforeAutospacing="1" w:afterAutospacing="1"/>
        <w:ind w:firstLine="567"/>
        <w:jc w:val="both"/>
      </w:pPr>
      <w:r>
        <w:t xml:space="preserve">Для учета </w:t>
      </w:r>
      <w:r w:rsidR="001D13E1" w:rsidRPr="00AD4430">
        <w:t>лекарственных препаратов</w:t>
      </w:r>
      <w:r w:rsidR="00DE7ECF">
        <w:t xml:space="preserve"> и </w:t>
      </w:r>
      <w:r w:rsidR="001D13E1">
        <w:t xml:space="preserve">медицинских материалов </w:t>
      </w:r>
      <w:r>
        <w:t>в бюджетных учреждениях предназначен счет 0 105 31 000 «Лекарственные препараты и медицинские материалы».</w:t>
      </w:r>
      <w:r w:rsidR="00BE10CF">
        <w:t xml:space="preserve"> </w:t>
      </w:r>
      <w:r w:rsidR="007743C0" w:rsidRPr="000266D3">
        <w:t>КВР 341:</w:t>
      </w:r>
    </w:p>
    <w:p w:rsidR="00E2569C" w:rsidRDefault="00E2569C" w:rsidP="00E2569C">
      <w:pPr>
        <w:spacing w:before="100" w:beforeAutospacing="1" w:after="100" w:afterAutospacing="1"/>
        <w:ind w:firstLine="567"/>
        <w:contextualSpacing/>
        <w:jc w:val="both"/>
      </w:pPr>
      <w:r>
        <w:t>На этом счете отражаются</w:t>
      </w:r>
      <w:r w:rsidRPr="00585A26">
        <w:t xml:space="preserve"> </w:t>
      </w:r>
      <w:r>
        <w:t>л</w:t>
      </w:r>
      <w:r w:rsidRPr="00585A26">
        <w:t>екар</w:t>
      </w:r>
      <w:r>
        <w:t>ственные средства (л</w:t>
      </w:r>
      <w:r w:rsidRPr="00585A26">
        <w:t>екар</w:t>
      </w:r>
      <w:r>
        <w:t xml:space="preserve">ственные препараты), компоненты, бактерийные препараты, сыворотки, вакцины, </w:t>
      </w:r>
      <w:r w:rsidR="00A20DCA">
        <w:t>компоненты крови</w:t>
      </w:r>
      <w:r>
        <w:t>, термометры (срок полезного использования которых менее 12 месяцев), дезинфицирующие средства (препараты), антисептики, маски медицинские</w:t>
      </w:r>
      <w:r w:rsidR="002C7E95">
        <w:t xml:space="preserve"> одноразовые</w:t>
      </w:r>
      <w:r>
        <w:t>, перчатки медицинские, медицинские аптечки и санитарные сумки для оказания первой медицинской помощи, перевязочные средства (вата, бинты, в том числе бинты гипсовые, марля),</w:t>
      </w:r>
      <w:r w:rsidRPr="003B5AE7">
        <w:t xml:space="preserve"> </w:t>
      </w:r>
      <w:r>
        <w:t>капрон и прочие шовные материалы, бумага диаграммная,</w:t>
      </w:r>
      <w:r w:rsidRPr="003B5AE7">
        <w:t xml:space="preserve"> </w:t>
      </w:r>
      <w:proofErr w:type="spellStart"/>
      <w:r>
        <w:t>рентгенпленка</w:t>
      </w:r>
      <w:proofErr w:type="spellEnd"/>
      <w:r>
        <w:t xml:space="preserve">, стекло предметное, </w:t>
      </w:r>
      <w:proofErr w:type="spellStart"/>
      <w:r>
        <w:t>термопленка</w:t>
      </w:r>
      <w:proofErr w:type="spellEnd"/>
      <w:r>
        <w:t xml:space="preserve">, трубки </w:t>
      </w:r>
      <w:proofErr w:type="spellStart"/>
      <w:r>
        <w:t>эндотрахеальные</w:t>
      </w:r>
      <w:proofErr w:type="spellEnd"/>
      <w:r>
        <w:t xml:space="preserve">, устройство для переливания крови, фотобумага, </w:t>
      </w:r>
      <w:proofErr w:type="spellStart"/>
      <w:r>
        <w:t>эндопротезная</w:t>
      </w:r>
      <w:proofErr w:type="spellEnd"/>
      <w:r>
        <w:t xml:space="preserve"> сетка, мочеприемники, скарификаторы, шпателя, электроды грудные, гель для УЗИ, жгуты кровоостанавливающие, зонды, шприцы, иглы, катетеры,</w:t>
      </w:r>
      <w:r w:rsidR="00BC6CA2">
        <w:t xml:space="preserve"> лезвие д/скальпеля,</w:t>
      </w:r>
      <w:r>
        <w:t xml:space="preserve"> канюли для переливания, системы тест-полосок, применяемые в медицинских целях,  клеенка подкладная,</w:t>
      </w:r>
      <w:r w:rsidRPr="00D955E7">
        <w:t xml:space="preserve"> </w:t>
      </w:r>
      <w:r>
        <w:t xml:space="preserve">подгузники, коннектор, контейнер для анализов, лезвия, кружка </w:t>
      </w:r>
      <w:proofErr w:type="spellStart"/>
      <w:r>
        <w:t>Эсмарха</w:t>
      </w:r>
      <w:proofErr w:type="spellEnd"/>
      <w:r>
        <w:t>,</w:t>
      </w:r>
      <w:r w:rsidRPr="003B5AE7">
        <w:t xml:space="preserve"> </w:t>
      </w:r>
      <w:proofErr w:type="spellStart"/>
      <w:r>
        <w:t>микропробирки</w:t>
      </w:r>
      <w:proofErr w:type="spellEnd"/>
      <w:r>
        <w:t>,</w:t>
      </w:r>
      <w:r w:rsidRPr="003B5AE7">
        <w:t xml:space="preserve"> </w:t>
      </w:r>
      <w:r>
        <w:t xml:space="preserve">пробирки, пипетки мерные, кислород. </w:t>
      </w:r>
    </w:p>
    <w:p w:rsidR="00E2569C" w:rsidRDefault="00E2569C" w:rsidP="00E2569C">
      <w:pPr>
        <w:spacing w:before="100" w:beforeAutospacing="1" w:after="100" w:afterAutospacing="1"/>
        <w:ind w:firstLine="567"/>
        <w:contextualSpacing/>
        <w:jc w:val="both"/>
      </w:pPr>
      <w:r>
        <w:t xml:space="preserve">А также реагенты-реактивы для </w:t>
      </w:r>
      <w:r w:rsidRPr="00EB4858">
        <w:rPr>
          <w:i/>
        </w:rPr>
        <w:t>клинической лаборатории</w:t>
      </w:r>
      <w:r w:rsidR="004E4675">
        <w:rPr>
          <w:i/>
        </w:rPr>
        <w:t>:</w:t>
      </w:r>
      <w:r w:rsidR="00B3445D">
        <w:rPr>
          <w:i/>
        </w:rPr>
        <w:t xml:space="preserve"> </w:t>
      </w:r>
      <w:r w:rsidR="00B3445D" w:rsidRPr="00B3445D">
        <w:t>тест</w:t>
      </w:r>
      <w:r w:rsidR="00B3445D">
        <w:t xml:space="preserve">-полоски, наборы </w:t>
      </w:r>
      <w:proofErr w:type="spellStart"/>
      <w:r w:rsidR="00B3445D">
        <w:t>реаг</w:t>
      </w:r>
      <w:proofErr w:type="spellEnd"/>
      <w:r w:rsidR="00B3445D">
        <w:t xml:space="preserve">. д/опр. АЛТ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альфа-амилазы в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АСТ в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глюкозы в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мочевины, мочевой к-ты и др., а так же </w:t>
      </w:r>
      <w:r w:rsidRPr="003B5AE7">
        <w:t>расходные материалы</w:t>
      </w:r>
      <w:r w:rsidRPr="007E02AA">
        <w:rPr>
          <w:i/>
        </w:rPr>
        <w:t xml:space="preserve"> для клинической лаборатории</w:t>
      </w:r>
      <w:r>
        <w:rPr>
          <w:i/>
        </w:rPr>
        <w:t xml:space="preserve"> ПЦР</w:t>
      </w:r>
      <w:r>
        <w:t xml:space="preserve"> (</w:t>
      </w:r>
      <w:r w:rsidR="002C7E95">
        <w:t xml:space="preserve">химические </w:t>
      </w:r>
      <w:proofErr w:type="spellStart"/>
      <w:r w:rsidR="002C7E95">
        <w:t>рективы</w:t>
      </w:r>
      <w:proofErr w:type="spellEnd"/>
      <w:r w:rsidR="002C7E95">
        <w:t xml:space="preserve"> и реагенты для КДЛ, </w:t>
      </w:r>
      <w:proofErr w:type="spellStart"/>
      <w:r>
        <w:t>микропробирка</w:t>
      </w:r>
      <w:proofErr w:type="spellEnd"/>
      <w:r>
        <w:t xml:space="preserve"> на 200мкл, наконечники, реактивы для определения РНК </w:t>
      </w:r>
      <w:proofErr w:type="spellStart"/>
      <w:r>
        <w:t>коронав</w:t>
      </w:r>
      <w:proofErr w:type="spellEnd"/>
      <w:r>
        <w:t>.)</w:t>
      </w:r>
      <w:r w:rsidR="00E44F22">
        <w:t xml:space="preserve"> и др.</w:t>
      </w:r>
    </w:p>
    <w:p w:rsidR="00F35E9E" w:rsidRPr="00EF17C4" w:rsidRDefault="00F35E9E" w:rsidP="00F35E9E">
      <w:pPr>
        <w:ind w:firstLine="567"/>
        <w:jc w:val="both"/>
      </w:pPr>
      <w:r w:rsidRPr="00CE0577">
        <w:t xml:space="preserve">Лекарственные препараты и медицинские материалы, применяемые в </w:t>
      </w:r>
      <w:r w:rsidRPr="00CE0577">
        <w:rPr>
          <w:i/>
        </w:rPr>
        <w:t>стоматологии:</w:t>
      </w:r>
      <w:r w:rsidRPr="00CE0577">
        <w:t xml:space="preserve"> </w:t>
      </w:r>
      <w:proofErr w:type="spellStart"/>
      <w:r w:rsidRPr="00CE0577">
        <w:t>белацин</w:t>
      </w:r>
      <w:proofErr w:type="spellEnd"/>
      <w:r w:rsidRPr="00CE0577">
        <w:t xml:space="preserve">, </w:t>
      </w:r>
      <w:proofErr w:type="spellStart"/>
      <w:r w:rsidRPr="00CE0577">
        <w:t>дайкал</w:t>
      </w:r>
      <w:proofErr w:type="spellEnd"/>
      <w:r w:rsidRPr="00CE0577">
        <w:t xml:space="preserve">, дентин-паста, </w:t>
      </w:r>
      <w:proofErr w:type="spellStart"/>
      <w:r w:rsidRPr="00CE0577">
        <w:t>силидонт</w:t>
      </w:r>
      <w:proofErr w:type="spellEnd"/>
      <w:r w:rsidRPr="00CE0577">
        <w:t xml:space="preserve">, </w:t>
      </w:r>
      <w:proofErr w:type="spellStart"/>
      <w:r w:rsidRPr="00CE0577">
        <w:t>эндовит</w:t>
      </w:r>
      <w:proofErr w:type="spellEnd"/>
      <w:r w:rsidRPr="00CE0577">
        <w:t xml:space="preserve">, </w:t>
      </w:r>
      <w:proofErr w:type="spellStart"/>
      <w:r w:rsidRPr="00CE0577">
        <w:t>филтек</w:t>
      </w:r>
      <w:proofErr w:type="spellEnd"/>
      <w:r w:rsidRPr="00CE0577">
        <w:t xml:space="preserve">, </w:t>
      </w:r>
      <w:proofErr w:type="spellStart"/>
      <w:r w:rsidRPr="00CE0577">
        <w:t>эндометазон</w:t>
      </w:r>
      <w:proofErr w:type="spellEnd"/>
      <w:r w:rsidRPr="00CE0577">
        <w:t xml:space="preserve">, </w:t>
      </w:r>
      <w:proofErr w:type="spellStart"/>
      <w:r w:rsidRPr="00CE0577">
        <w:t>артикаин</w:t>
      </w:r>
      <w:proofErr w:type="spellEnd"/>
      <w:r w:rsidRPr="00CE0577">
        <w:t xml:space="preserve">, </w:t>
      </w:r>
      <w:proofErr w:type="spellStart"/>
      <w:r w:rsidRPr="00CE0577">
        <w:t>фуджи</w:t>
      </w:r>
      <w:proofErr w:type="spellEnd"/>
      <w:r w:rsidRPr="00CE0577">
        <w:t xml:space="preserve"> (</w:t>
      </w:r>
      <w:proofErr w:type="spellStart"/>
      <w:r w:rsidRPr="00CE0577">
        <w:t>стеклоиномер</w:t>
      </w:r>
      <w:proofErr w:type="spellEnd"/>
      <w:r w:rsidRPr="00CE0577">
        <w:t xml:space="preserve">. цемент хим. </w:t>
      </w:r>
      <w:proofErr w:type="spellStart"/>
      <w:r w:rsidRPr="00CE0577">
        <w:t>отверд</w:t>
      </w:r>
      <w:proofErr w:type="spellEnd"/>
      <w:r w:rsidRPr="00CE0577">
        <w:t xml:space="preserve">.) и </w:t>
      </w:r>
      <w:r w:rsidRPr="00CE0577">
        <w:rPr>
          <w:i/>
        </w:rPr>
        <w:t xml:space="preserve">стоматологические расходные материалы: </w:t>
      </w:r>
      <w:r w:rsidRPr="00CE0577">
        <w:t xml:space="preserve">игла </w:t>
      </w:r>
      <w:proofErr w:type="spellStart"/>
      <w:r w:rsidRPr="00CE0577">
        <w:t>карпульная</w:t>
      </w:r>
      <w:proofErr w:type="spellEnd"/>
      <w:r w:rsidRPr="00CE0577">
        <w:t>, наконечник стоматологический, штифт гуттаперчевый, К-</w:t>
      </w:r>
      <w:proofErr w:type="spellStart"/>
      <w:r w:rsidRPr="00CE0577">
        <w:t>флексофайлы</w:t>
      </w:r>
      <w:proofErr w:type="spellEnd"/>
      <w:r w:rsidRPr="00CE0577">
        <w:t xml:space="preserve"> (</w:t>
      </w:r>
      <w:proofErr w:type="spellStart"/>
      <w:r w:rsidRPr="00CE0577">
        <w:t>каналорасширитель</w:t>
      </w:r>
      <w:proofErr w:type="spellEnd"/>
      <w:r w:rsidRPr="00CE0577">
        <w:t xml:space="preserve">), </w:t>
      </w:r>
      <w:proofErr w:type="spellStart"/>
      <w:r w:rsidRPr="00CE0577">
        <w:t>кана</w:t>
      </w:r>
      <w:r>
        <w:t>лонаполнитель</w:t>
      </w:r>
      <w:proofErr w:type="spellEnd"/>
      <w:r>
        <w:t>, лак п/</w:t>
      </w:r>
      <w:proofErr w:type="spellStart"/>
      <w:r>
        <w:t>кариесный</w:t>
      </w:r>
      <w:proofErr w:type="spellEnd"/>
      <w:r w:rsidRPr="00CE0577">
        <w:t xml:space="preserve">, спредеры, ретракторы, боры алмазные, боры ТВС, </w:t>
      </w:r>
      <w:proofErr w:type="spellStart"/>
      <w:r w:rsidRPr="00CE0577">
        <w:t>имплант</w:t>
      </w:r>
      <w:proofErr w:type="spellEnd"/>
      <w:r w:rsidRPr="00CE0577">
        <w:t xml:space="preserve">. А также </w:t>
      </w:r>
      <w:r w:rsidRPr="00CE0577">
        <w:rPr>
          <w:i/>
        </w:rPr>
        <w:t xml:space="preserve">расходные материалы для ортопедической стоматологии: </w:t>
      </w:r>
      <w:r w:rsidRPr="00CE0577">
        <w:t xml:space="preserve">силикон высокой вязкости, гильзы д/коронок, </w:t>
      </w:r>
      <w:r>
        <w:t xml:space="preserve">воск, </w:t>
      </w:r>
      <w:r w:rsidRPr="00CE0577">
        <w:t xml:space="preserve">зубы пластмассовые, керамическая масса дентин, </w:t>
      </w:r>
      <w:proofErr w:type="spellStart"/>
      <w:r w:rsidRPr="00CE0577">
        <w:t>дуцерам</w:t>
      </w:r>
      <w:proofErr w:type="spellEnd"/>
      <w:r w:rsidRPr="00CE0577">
        <w:t xml:space="preserve"> Плюс дентин, </w:t>
      </w:r>
      <w:proofErr w:type="spellStart"/>
      <w:r w:rsidRPr="00CE0577">
        <w:t>фил</w:t>
      </w:r>
      <w:r>
        <w:t>ьцы</w:t>
      </w:r>
      <w:proofErr w:type="spellEnd"/>
      <w:r>
        <w:t xml:space="preserve"> конусообразные, щетка-щетина, кисть, </w:t>
      </w:r>
      <w:r w:rsidRPr="00CE0577">
        <w:t xml:space="preserve">тигель, </w:t>
      </w:r>
      <w:r>
        <w:t xml:space="preserve">фреза, бор алмазный, </w:t>
      </w:r>
      <w:r w:rsidRPr="00CE0577">
        <w:t>гипс и др.</w:t>
      </w:r>
    </w:p>
    <w:p w:rsidR="00F35E9E" w:rsidRDefault="00F35E9E" w:rsidP="00E2569C">
      <w:pPr>
        <w:spacing w:before="100" w:beforeAutospacing="1" w:after="100" w:afterAutospacing="1"/>
        <w:ind w:firstLine="567"/>
        <w:contextualSpacing/>
        <w:jc w:val="both"/>
      </w:pPr>
    </w:p>
    <w:p w:rsidR="00E2569C" w:rsidRPr="00762127" w:rsidRDefault="00E2569C" w:rsidP="00E2569C">
      <w:pPr>
        <w:spacing w:before="100" w:beforeAutospacing="1" w:after="100" w:afterAutospacing="1"/>
        <w:ind w:firstLine="567"/>
        <w:contextualSpacing/>
        <w:jc w:val="both"/>
        <w:rPr>
          <w:color w:val="FF0000"/>
        </w:rPr>
      </w:pPr>
      <w:r>
        <w:t xml:space="preserve">И прочие </w:t>
      </w:r>
      <w:r w:rsidRPr="00E2569C">
        <w:t>медицинские изделия, применяемые в медицинских целях.</w:t>
      </w:r>
    </w:p>
    <w:p w:rsidR="00E2569C" w:rsidRDefault="00E2569C">
      <w:pPr>
        <w:spacing w:beforeAutospacing="1" w:afterAutospacing="1"/>
        <w:ind w:firstLine="567"/>
        <w:jc w:val="both"/>
      </w:pPr>
    </w:p>
    <w:p w:rsidR="002E76B7" w:rsidRDefault="001238D0">
      <w:pPr>
        <w:spacing w:beforeAutospacing="1" w:afterAutospacing="1"/>
        <w:ind w:firstLine="567"/>
        <w:jc w:val="both"/>
      </w:pPr>
      <w:r>
        <w:t xml:space="preserve">Поступление </w:t>
      </w:r>
      <w:r w:rsidR="001D13E1">
        <w:t>лекарственных препаратов и медицинских материалов</w:t>
      </w:r>
      <w:r>
        <w:t xml:space="preserve"> в ФГБУЗ КБ №33 ФМБА России организовано через аптечный склад (</w:t>
      </w:r>
      <w:r w:rsidR="00B13940">
        <w:t xml:space="preserve">Больничную </w:t>
      </w:r>
      <w:r>
        <w:t>аптеку).</w:t>
      </w:r>
    </w:p>
    <w:p w:rsidR="002E76B7" w:rsidRDefault="001238D0">
      <w:pPr>
        <w:spacing w:beforeAutospacing="1" w:afterAutospacing="1"/>
        <w:ind w:firstLine="567"/>
        <w:jc w:val="both"/>
      </w:pPr>
      <w:r>
        <w:lastRenderedPageBreak/>
        <w:t xml:space="preserve">Ответственность за сохранность </w:t>
      </w:r>
      <w:r w:rsidR="000447A4">
        <w:t>лекарственных препаратов и медицинских материалов</w:t>
      </w:r>
      <w:r>
        <w:t xml:space="preserve"> в аптеке возложена на заведующего аптекой. С лицами, ответственными за сохранность лекарственных средств, находящихся в отделениях (кабинетах) учреждения, заключается договор о полной индивидуальной материальной ответственности. Организация хранения лекарственных средств и изделий медицинского назначения осуществляется в соответствии с приказом № 706н от 23.08.2021 г.</w:t>
      </w:r>
    </w:p>
    <w:p w:rsidR="002E76B7" w:rsidRDefault="001238D0">
      <w:pPr>
        <w:shd w:val="clear" w:color="auto" w:fill="FFFFFF"/>
        <w:spacing w:line="312" w:lineRule="atLeast"/>
        <w:ind w:firstLine="567"/>
        <w:jc w:val="both"/>
        <w:textAlignment w:val="baseline"/>
        <w:outlineLvl w:val="0"/>
      </w:pPr>
      <w:r>
        <w:t xml:space="preserve">В учреждениях здравоохранения ведется предметно-количественный учет </w:t>
      </w:r>
      <w:r w:rsidR="000447A4">
        <w:t>лекарственных препаратов и медицинских материалов</w:t>
      </w:r>
      <w:r>
        <w:t xml:space="preserve"> согласно приказу Минздрава РФ от 22.04.2014 N 183Н.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Предметно-количественный учет </w:t>
      </w:r>
      <w:r w:rsidR="000447A4">
        <w:t>лекарственных препаратов и медицинских материалов</w:t>
      </w:r>
      <w:r>
        <w:t xml:space="preserve"> ведется в Книге предметно-количественного учета аптекарских запасов (форма 8-МЗ), страницы которой должны быть пронумерованы и заверены подписью главного бухгалтера.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Материально-ответственные лица ведут учет </w:t>
      </w:r>
      <w:r w:rsidR="000447A4">
        <w:t>лекарственных препаратов и медицинских материалов</w:t>
      </w:r>
      <w:r>
        <w:t xml:space="preserve"> по наименованиям, дозировке и количеству в Книге учета материа</w:t>
      </w:r>
      <w:r w:rsidR="00CB438F">
        <w:t>льных ценностей (форма 0504042</w:t>
      </w:r>
      <w:r w:rsidR="00452C02">
        <w:t>)</w:t>
      </w:r>
      <w:r w:rsidR="00B13940">
        <w:t>. Форма</w:t>
      </w:r>
      <w:r>
        <w:t xml:space="preserve"> </w:t>
      </w:r>
      <w:r w:rsidR="00B13940">
        <w:t>утверждена</w:t>
      </w:r>
      <w:r>
        <w:t xml:space="preserve"> Приказом №52н.</w:t>
      </w:r>
      <w:r w:rsidR="00B13940">
        <w:t xml:space="preserve"> 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Отпуск </w:t>
      </w:r>
      <w:r w:rsidR="000447A4">
        <w:t>лекарственных препаратов и медицинских материалов</w:t>
      </w:r>
      <w:r>
        <w:t xml:space="preserve"> из аптеки производится в размере, который определяется текущей потребностью в них:</w:t>
      </w:r>
    </w:p>
    <w:p w:rsidR="002E76B7" w:rsidRPr="007A5C07" w:rsidRDefault="001238D0">
      <w:pPr>
        <w:spacing w:beforeAutospacing="1" w:afterAutospacing="1"/>
        <w:ind w:firstLine="567"/>
        <w:jc w:val="both"/>
      </w:pPr>
      <w:r w:rsidRPr="007A5C07">
        <w:t>·   ядовитые - из расчета пятидневной нормы;</w:t>
      </w:r>
    </w:p>
    <w:p w:rsidR="002E76B7" w:rsidRPr="007A5C07" w:rsidRDefault="001238D0">
      <w:pPr>
        <w:spacing w:beforeAutospacing="1" w:afterAutospacing="1"/>
        <w:ind w:firstLine="567"/>
        <w:jc w:val="both"/>
      </w:pPr>
      <w:r w:rsidRPr="007A5C07">
        <w:t>·   наркотические – трехдневной нормы;</w:t>
      </w:r>
    </w:p>
    <w:p w:rsidR="002E76B7" w:rsidRPr="007A5C07" w:rsidRDefault="001238D0">
      <w:pPr>
        <w:spacing w:beforeAutospacing="1" w:afterAutospacing="1"/>
        <w:ind w:firstLine="567"/>
        <w:jc w:val="both"/>
      </w:pPr>
      <w:r w:rsidRPr="007A5C07">
        <w:t>·   остальные – десятидневной нормы.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В зависимости от масштаба учреждения отпуск </w:t>
      </w:r>
      <w:r w:rsidR="000447A4">
        <w:t>лекарственных препаратов и медицинских материалов</w:t>
      </w:r>
      <w:r>
        <w:t xml:space="preserve"> может осуществляться или через старшую медсестру учреждения, или через старших медсестер отделений, с которыми также заключаются договоры о материальной ответственности.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Отпуск </w:t>
      </w:r>
      <w:r w:rsidR="000447A4">
        <w:t>лекарственных препаратов и медицинских материалов</w:t>
      </w:r>
      <w:r>
        <w:t xml:space="preserve"> осуществляется на основании Требования-накладной (форма 0504204).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Для того, чтобы можно было определить общую стоимость отпущенных </w:t>
      </w:r>
      <w:r w:rsidR="000447A4">
        <w:t>лекарственных препаратов и медицинских материалов</w:t>
      </w:r>
      <w:r>
        <w:t>, заведующий аптечным складом или лицо, на то уполномоченное, производит таксировку каждого Требования-накладной. Заведующий аптекой несет ответственность за правильное применение розничных цен, подсчет стоимости лекарственных средств в накладных (требованиях), расходных документах и инвентаризационных описях.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Согласно Инструкции №157н списание </w:t>
      </w:r>
      <w:r w:rsidR="000447A4">
        <w:t>лекарственных препаратов и медицинских материалов</w:t>
      </w:r>
      <w:r>
        <w:t xml:space="preserve"> осуществляется </w:t>
      </w:r>
    </w:p>
    <w:p w:rsidR="002E76B7" w:rsidRDefault="00F571CB">
      <w:pPr>
        <w:spacing w:beforeAutospacing="1" w:afterAutospacing="1"/>
        <w:ind w:firstLine="567"/>
        <w:jc w:val="both"/>
      </w:pPr>
      <w:r>
        <w:t>- по стоимости их приобретения</w:t>
      </w:r>
    </w:p>
    <w:p w:rsidR="002E76B7" w:rsidRDefault="001238D0">
      <w:pPr>
        <w:spacing w:beforeAutospacing="1" w:afterAutospacing="1"/>
        <w:ind w:firstLine="567"/>
        <w:jc w:val="both"/>
      </w:pPr>
      <w:proofErr w:type="spellStart"/>
      <w:r>
        <w:lastRenderedPageBreak/>
        <w:t>Протаксированные</w:t>
      </w:r>
      <w:proofErr w:type="spellEnd"/>
      <w:r>
        <w:t xml:space="preserve"> Требования-накладные ежедневно регистрируются по порядку номеров в Книге учета </w:t>
      </w:r>
      <w:proofErr w:type="spellStart"/>
      <w:r>
        <w:t>протаксированных</w:t>
      </w:r>
      <w:proofErr w:type="spellEnd"/>
      <w:r>
        <w:t xml:space="preserve"> Требований-накладных (форма 7-МЗ), страницы которой должны быть пронумерованы и на последней странице заверены подписью главного бухгалтера.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По окончании месяца в Книге учета подсчитывается итоговая сумма по каждой группе </w:t>
      </w:r>
      <w:r w:rsidR="000447A4">
        <w:t>лекарственных препаратов и медицинских материалов</w:t>
      </w:r>
      <w:r>
        <w:t>, а также общая сумма за месяц, которая проставляется цифрами и прописью.</w:t>
      </w:r>
    </w:p>
    <w:p w:rsidR="002E76B7" w:rsidRDefault="001238D0" w:rsidP="002C7E95">
      <w:pPr>
        <w:shd w:val="clear" w:color="auto" w:fill="FFFFFF"/>
        <w:spacing w:afterAutospacing="1"/>
        <w:ind w:firstLine="567"/>
        <w:jc w:val="both"/>
      </w:pPr>
      <w:r>
        <w:t>Согласно приказу Минздрава России от 31.07.2020 N 779н "Об утверждении требований к объему тары, упаковке и комплектности лекарственных препаратов для медицинского применения" и приказа Минздрава России от 31.07.2020 N 778н "Об утверждении перечня лекарственных препаратов для медицинского применения, в отношении которых устанавливаются требования к объему тары, упаковке и комплектности" производство лекарственных препаратов, предназначенных для внутреннего применения, а также их продажа и передача производители лекарственных средств осуществляют в таре</w:t>
      </w:r>
      <w:r w:rsidR="002C7E95">
        <w:t>.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На первичной и вторичной (при наличии) упаковке указывается концентрация спирта, входящего в состав лекарственного препарата. Производители при продаже и передаче лекарственных препаратов комплектуют в соответствии с инструкцией по медицинскому применению лекарственного препарата.</w:t>
      </w:r>
    </w:p>
    <w:p w:rsidR="002E76B7" w:rsidRDefault="001238D0">
      <w:pPr>
        <w:spacing w:beforeAutospacing="1" w:afterAutospacing="1"/>
        <w:ind w:firstLine="567"/>
        <w:jc w:val="both"/>
      </w:pPr>
      <w:r>
        <w:t>Тара для целей учета подразделяется на возвратную (обменную) и не подлежащую возврату.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Возвратная (обменная) тара включается в отчет заведующего аптекой, по мере сдачи ее поставщику или специальной </w:t>
      </w:r>
      <w:proofErr w:type="spellStart"/>
      <w:r>
        <w:t>тарособирающей</w:t>
      </w:r>
      <w:proofErr w:type="spellEnd"/>
      <w:r>
        <w:t xml:space="preserve"> организации. Денежные средства, ранее уплаченные поставщикам за возвратную (обменную) тару, возвращаются учреждению и относятся на восстановление кассовых расходов.</w:t>
      </w:r>
    </w:p>
    <w:p w:rsidR="002E76B7" w:rsidRDefault="001238D0">
      <w:pPr>
        <w:spacing w:beforeAutospacing="1" w:afterAutospacing="1"/>
        <w:ind w:firstLine="567"/>
        <w:jc w:val="both"/>
      </w:pPr>
      <w:r>
        <w:t>Стоимость тары, не подлежащей обмену и возврату, включенная поставщиком в цену лекарственных средств, списывается в расход при списании этих лекарственных средств. Если стоимость безвозвратной одноразовой тары не включена в цену полученных средств, а показана в счете поставщика отдельно, эта тара по мере высвобождения от упакованных в нее лекарственных средств списывается с подотчета заведующего аптекой в расход.</w:t>
      </w:r>
    </w:p>
    <w:p w:rsidR="002E76B7" w:rsidRDefault="001238D0">
      <w:pPr>
        <w:spacing w:beforeAutospacing="1" w:afterAutospacing="1"/>
        <w:ind w:firstLine="567"/>
        <w:jc w:val="both"/>
      </w:pPr>
      <w:r>
        <w:t>Если в учреждении обнаружена порча лекарственных средств, то составляется Акт на списание материальных запасов (форма 0504230), хранящихся в аптеке и пришедших в негодность, а также выясняются виновные в этом лица.</w:t>
      </w:r>
    </w:p>
    <w:p w:rsidR="002E76B7" w:rsidRDefault="001238D0">
      <w:pPr>
        <w:spacing w:beforeAutospacing="1" w:afterAutospacing="1"/>
        <w:ind w:firstLine="567"/>
        <w:jc w:val="both"/>
      </w:pPr>
      <w:r>
        <w:t>Пришедшие в негодность лекарственные средства подлежат уничтожению с соблюдением установленных для этого правил. При этом на акте делается надпись с указанием даты и способы уничтожения за подписями всех членов комиссии.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Правила уничтожения лекарственных средств, пришедших в негодность, лекарственных средств с истекшим сроком годности и лекарственных средств, являющихся подделками или незаконными копиями зарегистрированных в Российской Федерации лекарственных средств утверждены Постановление Правительства РФ от 15.09.2020 N 1447 «Об утверждении правил уничтожения изъятых фальсифицированных лекарственных средств, недоброкачественных </w:t>
      </w:r>
      <w:r>
        <w:lastRenderedPageBreak/>
        <w:t>лекарственных средств и контрафактных лекарственных средств»  (далее – Постановление №1447).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 xml:space="preserve">Согласно </w:t>
      </w:r>
      <w:r w:rsidR="00AC3532">
        <w:t>Постановлению,</w:t>
      </w:r>
      <w:r>
        <w:t xml:space="preserve"> при вынесении уполномоченным органом решения об изъятии и уничтожении фальсифицированных лекарственных средств и (или) недоброкачественных лекарственных средств владелец таких лекарственных средств обязан: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изъять эти лекарственные средства из обращения, изолировать и разместить их в специально выделенном помещении (зоне) либо сообщить о несогласии с указанным решением уполномоченному органу в течение 30 дней со дня вынесения решения;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уничтожить изъятые лекарственные средства в течение 6 месяцев со дня вынесения решения.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Уничтожение фальсифицированных, недоброкачественных лекарственных и контрафактных лекарственных средств проводит организация, имеющая лицензию на осуществление деятельности по сбору, транспортированию, обработке, утилизации, обезвреживанию, размещению отходов I - IV классов опасности.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 xml:space="preserve">Владелец недоброкачественных лекарственных средств или организация, осуществляющая уничтожение, составляют акт об уничтожении, в котором указываются: 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дата и место уничтожения лекарственных средств;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ФИО лиц, принимавших участие в уничтожении, место работы и должность;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обоснование уничтожения лекарственных средств;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сведения об уничтоженных средствах (наименование, лекарственная форма, дозировка, единицы измерения, серия) и их количестве, а также о таре или упаковке;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наименование производителя лекарственных средств;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сведения о владельце лекарственных средств;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- способ уничтожения лекарственных средств.</w:t>
      </w:r>
    </w:p>
    <w:p w:rsidR="002E76B7" w:rsidRDefault="001238D0">
      <w:pPr>
        <w:shd w:val="clear" w:color="auto" w:fill="FFFFFF"/>
        <w:spacing w:afterAutospacing="1"/>
        <w:ind w:firstLine="567"/>
        <w:jc w:val="both"/>
      </w:pPr>
      <w:r>
        <w:t>Акт об уничтожении составляется в день уничтожения лекарственных средств. Количество экземпляров акта определяется по числу сторон, принимавших участие в уничтожении лекарственных средств. Акт подписывают все лица, принимавшие участие в уничтожении лекарственных средств, и заверяется печатью организации, осуществившей уничтожение. Копия акта об уничтожении ЛС, заверенная в установленном порядке, представляется в течение 5 рабочих дней со дня его составления или в течение 5 рабочих дней со дня его получения владельцем уничтоженных лекарственных средств в уполномоченный орган с использованием электронных средств связи.</w:t>
      </w:r>
    </w:p>
    <w:p w:rsidR="00A255FC" w:rsidRDefault="001238D0">
      <w:pPr>
        <w:spacing w:beforeAutospacing="1" w:afterAutospacing="1"/>
        <w:ind w:firstLine="567"/>
        <w:jc w:val="both"/>
      </w:pPr>
      <w:r>
        <w:lastRenderedPageBreak/>
        <w:t xml:space="preserve">В конце каждого месяца заведующий аптекой составляет отчет аптеки о приходе и расходе медикаментов в денежном (суммовом) выражении форма 11-МЗ по группам </w:t>
      </w:r>
      <w:r w:rsidR="00E2569C" w:rsidRPr="00E2569C">
        <w:t xml:space="preserve">лекарственных препаратов и </w:t>
      </w:r>
      <w:r w:rsidR="00A255FC">
        <w:t>медицинских материалов</w:t>
      </w:r>
      <w:r w:rsidR="00E2569C">
        <w:t>.</w:t>
      </w:r>
      <w:r w:rsidR="00A255FC">
        <w:t xml:space="preserve"> 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Полученные из аптечного склада </w:t>
      </w:r>
      <w:r w:rsidR="002C7E95">
        <w:t>лекарственные препараты</w:t>
      </w:r>
      <w:r w:rsidR="002C7E95" w:rsidRPr="00E2569C">
        <w:t xml:space="preserve"> и </w:t>
      </w:r>
      <w:r w:rsidR="002C7E95">
        <w:t>медицинские материалы</w:t>
      </w:r>
      <w:r>
        <w:t xml:space="preserve"> хранятся в отделениях (кабинетах). Запрещается получение и хранение </w:t>
      </w:r>
      <w:r w:rsidR="002C7E95">
        <w:t>лекарственных препаратов</w:t>
      </w:r>
      <w:r w:rsidR="002C7E95" w:rsidRPr="00E2569C">
        <w:t xml:space="preserve"> и </w:t>
      </w:r>
      <w:r w:rsidR="002C7E95">
        <w:t>медицинских материалов</w:t>
      </w:r>
      <w:r>
        <w:t xml:space="preserve"> в отделениях (кабинетах) сверх текущей потребности.</w:t>
      </w:r>
    </w:p>
    <w:p w:rsidR="002E76B7" w:rsidRDefault="001238D0">
      <w:pPr>
        <w:spacing w:beforeAutospacing="1" w:afterAutospacing="1"/>
        <w:ind w:firstLine="567"/>
        <w:jc w:val="both"/>
      </w:pPr>
      <w:r>
        <w:t>Запрещается выписывать лекарственные средства из аптечного склада по одной накладной для нескольких отделений (кабинетов) и производить последующую их фасовку, перемещение из одной посуды в другую и замену этикеток.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Учет по приходу и расходу </w:t>
      </w:r>
      <w:r w:rsidR="002C7E95">
        <w:t>лекарственных препаратов</w:t>
      </w:r>
      <w:r w:rsidR="002C7E95" w:rsidRPr="00E2569C">
        <w:t xml:space="preserve"> и </w:t>
      </w:r>
      <w:r w:rsidR="002C7E95">
        <w:t>медицинских материалов</w:t>
      </w:r>
      <w:r>
        <w:t>, а также представление отчетности в учреждениях, где нет аптек, организуется в том же порядке, что и в учреждениях, имеющих в своем составе аптеки.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Ответственность за рациональное применение и учет </w:t>
      </w:r>
      <w:r w:rsidR="002C7E95">
        <w:t>лекарственных препаратов</w:t>
      </w:r>
      <w:r w:rsidR="002C7E95" w:rsidRPr="00E2569C">
        <w:t xml:space="preserve"> и </w:t>
      </w:r>
      <w:r w:rsidR="002C7E95">
        <w:t>медицинских материалов</w:t>
      </w:r>
      <w:r>
        <w:t>, создание соответствующих условий их хранения и обеспечение материально-ответственных лиц мерной тарой несет руководитель учреждения.</w:t>
      </w:r>
    </w:p>
    <w:p w:rsidR="002E76B7" w:rsidRDefault="001238D0" w:rsidP="007C2CBB">
      <w:pPr>
        <w:spacing w:before="100" w:beforeAutospacing="1" w:after="100" w:afterAutospacing="1"/>
        <w:contextualSpacing/>
        <w:jc w:val="center"/>
        <w:rPr>
          <w:bCs/>
        </w:rPr>
      </w:pPr>
      <w:r>
        <w:t xml:space="preserve">ОСОБЕННОСТИ УЧЕТА </w:t>
      </w:r>
      <w:r>
        <w:rPr>
          <w:bCs/>
        </w:rPr>
        <w:t>НАРКОТИЧЕСКИХ ПРЕПАРАТОВ</w:t>
      </w:r>
    </w:p>
    <w:p w:rsidR="007C2CBB" w:rsidRDefault="007C2CBB" w:rsidP="007C2CBB">
      <w:pPr>
        <w:spacing w:before="100" w:beforeAutospacing="1" w:after="100" w:afterAutospacing="1"/>
        <w:contextualSpacing/>
        <w:jc w:val="center"/>
        <w:rPr>
          <w:bCs/>
        </w:rPr>
      </w:pPr>
    </w:p>
    <w:p w:rsidR="002E76B7" w:rsidRDefault="001238D0" w:rsidP="007C2CBB">
      <w:pPr>
        <w:spacing w:before="100" w:beforeAutospacing="1" w:after="100" w:afterAutospacing="1"/>
        <w:ind w:firstLine="567"/>
        <w:contextualSpacing/>
        <w:jc w:val="both"/>
      </w:pPr>
      <w:r>
        <w:t>Наркотические лекарственные средства и психотропные вещества в силу своей специфичности не могут свободно продаваться в аптеках. Законодательством предусмотрены особые требования к их учету и хранению.</w:t>
      </w:r>
    </w:p>
    <w:p w:rsidR="007C2CBB" w:rsidRDefault="007C2CBB" w:rsidP="007C2CBB">
      <w:pPr>
        <w:spacing w:before="100" w:beforeAutospacing="1" w:after="100" w:afterAutospacing="1"/>
        <w:ind w:firstLine="567"/>
        <w:contextualSpacing/>
        <w:jc w:val="both"/>
      </w:pPr>
    </w:p>
    <w:p w:rsidR="002E76B7" w:rsidRDefault="001238D0" w:rsidP="007C2CBB">
      <w:pPr>
        <w:spacing w:before="100" w:beforeAutospacing="1" w:after="100" w:afterAutospacing="1"/>
        <w:ind w:firstLine="567"/>
        <w:contextualSpacing/>
        <w:jc w:val="both"/>
      </w:pPr>
      <w:r w:rsidRPr="007C2CBB">
        <w:t>Наркотические средства и психотропные вещества, применяемые в медицине как лекарственные средства, подле</w:t>
      </w:r>
      <w:r w:rsidR="007C2CBB" w:rsidRPr="007C2CBB">
        <w:t>жат государственной регистрации.</w:t>
      </w:r>
    </w:p>
    <w:p w:rsidR="007C2CBB" w:rsidRPr="007C2CBB" w:rsidRDefault="007C2CBB" w:rsidP="007C2CBB">
      <w:pPr>
        <w:spacing w:before="100" w:beforeAutospacing="1" w:after="100" w:afterAutospacing="1"/>
        <w:ind w:firstLine="567"/>
        <w:contextualSpacing/>
        <w:jc w:val="both"/>
      </w:pPr>
    </w:p>
    <w:p w:rsidR="002E76B7" w:rsidRDefault="001238D0" w:rsidP="007C2CBB">
      <w:pPr>
        <w:spacing w:before="100" w:beforeAutospacing="1" w:after="100" w:afterAutospacing="1"/>
        <w:ind w:firstLine="567"/>
        <w:contextualSpacing/>
        <w:jc w:val="both"/>
      </w:pPr>
      <w:r>
        <w:t>Если учреждение осуществляет деятельность, связанную с оборотом наркотических средств и психотропных веществ, то оно должно вести журнал</w:t>
      </w:r>
      <w:r w:rsidR="00482DC3">
        <w:t xml:space="preserve"> </w:t>
      </w:r>
      <w:r w:rsidR="0043616E">
        <w:rPr>
          <w:rFonts w:eastAsiaTheme="minorHAnsi"/>
          <w:lang w:eastAsia="en-US"/>
        </w:rPr>
        <w:t>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</w:t>
      </w:r>
      <w:r w:rsidR="00482DC3">
        <w:rPr>
          <w:rFonts w:eastAsiaTheme="minorHAnsi"/>
          <w:lang w:eastAsia="en-US"/>
        </w:rPr>
        <w:t xml:space="preserve"> (</w:t>
      </w:r>
      <w:r w:rsidR="00482DC3">
        <w:t xml:space="preserve">форма этого журнала утверждена Постановлением Правительства РФ </w:t>
      </w:r>
      <w:r w:rsidR="00482DC3">
        <w:rPr>
          <w:rFonts w:eastAsiaTheme="minorHAnsi"/>
          <w:lang w:eastAsia="en-US"/>
        </w:rPr>
        <w:t>от 30 ноября 2021 г. N 2117</w:t>
      </w:r>
      <w:r w:rsidR="00482DC3">
        <w:t xml:space="preserve"> (далее - Постановление N 2117))  </w:t>
      </w:r>
      <w:r w:rsidRPr="008432FA">
        <w:t xml:space="preserve">и </w:t>
      </w:r>
      <w:r w:rsidR="008432FA" w:rsidRPr="008432FA">
        <w:t xml:space="preserve">журналов регистрации операций, связанных с оборотом </w:t>
      </w:r>
      <w:proofErr w:type="spellStart"/>
      <w:r w:rsidR="008432FA" w:rsidRPr="008432FA">
        <w:t>прекурсоров</w:t>
      </w:r>
      <w:proofErr w:type="spellEnd"/>
      <w:r w:rsidR="008432FA" w:rsidRPr="008432FA">
        <w:t xml:space="preserve"> наркотических средств и психотропных веществ</w:t>
      </w:r>
      <w:r w:rsidR="008432FA">
        <w:t xml:space="preserve"> </w:t>
      </w:r>
      <w:r w:rsidR="008432FA">
        <w:rPr>
          <w:rFonts w:eastAsiaTheme="minorHAnsi"/>
          <w:lang w:eastAsia="en-US"/>
        </w:rPr>
        <w:t>(</w:t>
      </w:r>
      <w:r w:rsidR="008432FA">
        <w:t xml:space="preserve">форма этого журнала утверждена </w:t>
      </w:r>
      <w:r w:rsidR="008432FA" w:rsidRPr="008432FA">
        <w:t>Постановление Правительства РФ от 28 октября 2021 г. N 1846</w:t>
      </w:r>
      <w:r w:rsidR="008432FA">
        <w:t xml:space="preserve"> (далее - Постановление N 1846))</w:t>
      </w:r>
      <w:r w:rsidR="007C2CBB">
        <w:t>.</w:t>
      </w:r>
    </w:p>
    <w:p w:rsidR="007C2CBB" w:rsidRDefault="007C2CBB" w:rsidP="007C2CBB">
      <w:pPr>
        <w:spacing w:before="100" w:beforeAutospacing="1" w:after="100" w:afterAutospacing="1"/>
        <w:ind w:firstLine="567"/>
        <w:contextualSpacing/>
        <w:jc w:val="both"/>
      </w:pPr>
    </w:p>
    <w:p w:rsidR="00696041" w:rsidRDefault="001238D0" w:rsidP="00696041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t>Согласно Правилам ведения и хранения специальных журналов</w:t>
      </w:r>
      <w:r w:rsidR="00482DC3">
        <w:t xml:space="preserve"> </w:t>
      </w:r>
      <w:r w:rsidR="00482DC3">
        <w:rPr>
          <w:rFonts w:eastAsiaTheme="minorHAnsi"/>
          <w:lang w:eastAsia="en-US"/>
        </w:rPr>
        <w:t xml:space="preserve">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веществ, </w:t>
      </w:r>
      <w:r w:rsidR="00482DC3">
        <w:t>утвержденным Постановлением N 2117,</w:t>
      </w:r>
      <w:r w:rsidR="007C2CBB">
        <w:t xml:space="preserve"> </w:t>
      </w:r>
      <w:r w:rsidR="007C2CBB">
        <w:rPr>
          <w:rFonts w:eastAsiaTheme="minorHAnsi"/>
          <w:lang w:eastAsia="en-US"/>
        </w:rPr>
        <w:t>регистрация операций, связанных с оборотом наркотических средств и психотропных веществ, ведется по каждому наименованию наркотического средства и психотропного вещества на отдельном развернутом листе журнала регистрации или в отдельном журнале регистрации. При осуществлении видов деятельности, связанных с оборотом наркотических средств и психотропных веществ, любые операции, в результате которых изменяются количество и состояние наркотических средств и психотропных веществ, подлежат занесению в журнал регистрации.</w:t>
      </w:r>
      <w:r w:rsidR="00696041">
        <w:rPr>
          <w:rFonts w:eastAsiaTheme="minorHAnsi"/>
          <w:lang w:eastAsia="en-US"/>
        </w:rPr>
        <w:t xml:space="preserve"> </w:t>
      </w:r>
    </w:p>
    <w:p w:rsidR="00696041" w:rsidRDefault="00696041" w:rsidP="00696041">
      <w:pPr>
        <w:autoSpaceDE w:val="0"/>
        <w:autoSpaceDN w:val="0"/>
        <w:adjustRightInd w:val="0"/>
        <w:ind w:firstLine="851"/>
        <w:jc w:val="both"/>
      </w:pPr>
      <w:r w:rsidRPr="00696041">
        <w:lastRenderedPageBreak/>
        <w:t>Журналы регистрации, оформленные на бумажном носителе, должны быть сброшюрованы, пронумерованы и скреплены подписью руководителя юридического лица или уполномоченного им должностного лица и печатью юридического лица (при наличии печати)</w:t>
      </w:r>
      <w:r>
        <w:t>.</w:t>
      </w:r>
    </w:p>
    <w:p w:rsidR="00696041" w:rsidRDefault="00696041" w:rsidP="00696041">
      <w:pPr>
        <w:autoSpaceDE w:val="0"/>
        <w:autoSpaceDN w:val="0"/>
        <w:adjustRightInd w:val="0"/>
        <w:ind w:firstLine="540"/>
        <w:jc w:val="both"/>
      </w:pPr>
    </w:p>
    <w:p w:rsidR="006E2BAE" w:rsidRDefault="001238D0" w:rsidP="006E2BAE">
      <w:pPr>
        <w:autoSpaceDE w:val="0"/>
        <w:autoSpaceDN w:val="0"/>
        <w:adjustRightInd w:val="0"/>
        <w:ind w:firstLine="540"/>
        <w:jc w:val="both"/>
      </w:pPr>
      <w:r>
        <w:t xml:space="preserve">Руководитель учреждения назначает лиц, ответственных за ведение и хранение журналов регистрации, в том числе в подразделениях. </w:t>
      </w:r>
      <w:r w:rsidR="00696041" w:rsidRPr="00696041">
        <w:t>Нумерация записей в журналах регистрации по каждому наименованию наркотического средства или психотропного вещества осуществляется в пределах календарного года в порядке возрастания номеров.</w:t>
      </w:r>
    </w:p>
    <w:p w:rsidR="006E2BAE" w:rsidRDefault="006E2BAE" w:rsidP="00696041">
      <w:pPr>
        <w:autoSpaceDE w:val="0"/>
        <w:autoSpaceDN w:val="0"/>
        <w:adjustRightInd w:val="0"/>
        <w:ind w:firstLine="540"/>
        <w:jc w:val="both"/>
      </w:pPr>
      <w:r>
        <w:t>В журналах</w:t>
      </w:r>
      <w:r w:rsidRPr="008432FA">
        <w:t xml:space="preserve"> регистрации операций, связанных с оборотом </w:t>
      </w:r>
      <w:proofErr w:type="spellStart"/>
      <w:r w:rsidRPr="008432FA">
        <w:t>прекурсоров</w:t>
      </w:r>
      <w:proofErr w:type="spellEnd"/>
      <w:r w:rsidRPr="008432FA">
        <w:t xml:space="preserve"> наркотических средств и психотропных веществ</w:t>
      </w:r>
      <w:r>
        <w:t xml:space="preserve"> </w:t>
      </w:r>
      <w:r>
        <w:rPr>
          <w:color w:val="22272F"/>
          <w:sz w:val="23"/>
          <w:szCs w:val="23"/>
          <w:shd w:val="clear" w:color="auto" w:fill="FFFFFF"/>
        </w:rPr>
        <w:t xml:space="preserve">нумерация записей операций по приходу и </w:t>
      </w:r>
      <w:r w:rsidR="003D3626">
        <w:rPr>
          <w:color w:val="22272F"/>
          <w:sz w:val="23"/>
          <w:szCs w:val="23"/>
          <w:shd w:val="clear" w:color="auto" w:fill="FFFFFF"/>
        </w:rPr>
        <w:t>расходу,</w:t>
      </w:r>
      <w:r>
        <w:rPr>
          <w:color w:val="22272F"/>
          <w:sz w:val="23"/>
          <w:szCs w:val="23"/>
          <w:shd w:val="clear" w:color="auto" w:fill="FFFFFF"/>
        </w:rPr>
        <w:t xml:space="preserve"> ведется в соответствии с количеством проведенных соответствующих операций.</w:t>
      </w:r>
    </w:p>
    <w:p w:rsidR="00696041" w:rsidRDefault="00696041" w:rsidP="0069604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 </w:t>
      </w:r>
      <w:r>
        <w:rPr>
          <w:rFonts w:eastAsiaTheme="minorHAnsi"/>
          <w:lang w:eastAsia="en-US"/>
        </w:rPr>
        <w:t>Операции по приходу и операции по расходу в журналах регистрации</w:t>
      </w:r>
      <w:r w:rsidR="006E2BAE">
        <w:rPr>
          <w:rFonts w:eastAsiaTheme="minorHAnsi"/>
          <w:lang w:eastAsia="en-US"/>
        </w:rPr>
        <w:t xml:space="preserve">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</w:t>
      </w:r>
      <w:r>
        <w:rPr>
          <w:rFonts w:eastAsiaTheme="minorHAnsi"/>
          <w:lang w:eastAsia="en-US"/>
        </w:rPr>
        <w:t xml:space="preserve"> имеют сквозную нумерацию. Нумерация записей в новых журналах регистрации начинается с номера, следующего за последним номером в заполненных журналах.</w:t>
      </w:r>
    </w:p>
    <w:p w:rsidR="00FB071A" w:rsidRDefault="00FB071A" w:rsidP="0069604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FB071A" w:rsidRDefault="00FB071A" w:rsidP="00FB071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Юридические лица ежемесячно проводят инвентаризацию наркотических средств и психотропных веществ путем сопоставления их фактического наличия с данными учета (книжными остатками).</w:t>
      </w:r>
    </w:p>
    <w:p w:rsidR="002E76B7" w:rsidRDefault="001238D0">
      <w:pPr>
        <w:spacing w:beforeAutospacing="1" w:afterAutospacing="1"/>
        <w:ind w:firstLine="567"/>
        <w:jc w:val="both"/>
      </w:pPr>
      <w:r>
        <w:t>Журнал регистрации хранится в металлическом шкафу (сейфе) в технически укрепленном помещении. Ключи находятся у лица, которое отвечает за ведение и хранение журнала.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На основании записей в соответствующем журнале регистрации юридические лица представляют в установленном порядке отчеты о деятельности, связанной с оборотом наркотических средств и психотропных веществ. </w:t>
      </w:r>
    </w:p>
    <w:p w:rsidR="00FB071A" w:rsidRDefault="00FB071A" w:rsidP="00FB071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Заполненные журналы регистрации вместе с документами, подтверждающими осуществление операций, связанных с оборотом наркотических средств и психотропных веществ, сдаются в архив юридического лица, где хранятся в течение 5 лет после внесения в них последней записи. По истечении указанного срока журналы регистрации подлежат уничтожению по акту, утверждаемому руководителем юридического лица.</w:t>
      </w:r>
    </w:p>
    <w:p w:rsidR="00FB071A" w:rsidRPr="00FB071A" w:rsidRDefault="00FB071A" w:rsidP="00FB071A">
      <w:pPr>
        <w:spacing w:beforeAutospacing="1" w:afterAutospacing="1"/>
        <w:ind w:firstLine="567"/>
        <w:jc w:val="both"/>
      </w:pPr>
      <w:r w:rsidRPr="00FB071A">
        <w:t>В случае реорганизации или ликвидации юридического лица журналы регистрации и документы, подтверждающие осуществление операций, связанных с оборотом наркотических средств и психотропных веществ, сдаются на хранение:</w:t>
      </w:r>
    </w:p>
    <w:p w:rsidR="00FB071A" w:rsidRPr="00FB071A" w:rsidRDefault="00FB071A" w:rsidP="00FB071A">
      <w:pPr>
        <w:spacing w:beforeAutospacing="1" w:afterAutospacing="1"/>
        <w:ind w:firstLine="567"/>
        <w:jc w:val="both"/>
      </w:pPr>
      <w:r w:rsidRPr="00FB071A">
        <w:t>при реорганизации - новому юридическому лицу либо правопреемнику (правопреемникам) в соответствии с передаточным актом;</w:t>
      </w:r>
    </w:p>
    <w:p w:rsidR="00FB071A" w:rsidRPr="00FB071A" w:rsidRDefault="00FB071A" w:rsidP="00FB071A">
      <w:pPr>
        <w:spacing w:beforeAutospacing="1" w:afterAutospacing="1"/>
        <w:ind w:firstLine="567"/>
        <w:jc w:val="both"/>
      </w:pPr>
      <w:r w:rsidRPr="00FB071A">
        <w:t>при ликвидации - в государственный архив в соответствии с законодательством Российской Федерации.</w:t>
      </w:r>
    </w:p>
    <w:p w:rsidR="002E76B7" w:rsidRDefault="002E76B7">
      <w:pPr>
        <w:spacing w:beforeAutospacing="1" w:afterAutospacing="1"/>
        <w:ind w:firstLine="567"/>
        <w:jc w:val="both"/>
      </w:pPr>
    </w:p>
    <w:p w:rsidR="002E76B7" w:rsidRDefault="001238D0">
      <w:pPr>
        <w:spacing w:beforeAutospacing="1" w:afterAutospacing="1"/>
        <w:jc w:val="center"/>
      </w:pPr>
      <w:r>
        <w:t>ОСОБЕННОСТИ УЧЕТА СПИРТА, ИСПОЛЬЗУЕМОГО В ЛЕЧЕБНЫХ И ФАРМАЦЕВТИЧЕСКИХ ОРГАНИЗАЦИЯХ.</w:t>
      </w:r>
    </w:p>
    <w:p w:rsidR="002E76B7" w:rsidRDefault="001238D0">
      <w:pPr>
        <w:spacing w:beforeAutospacing="1" w:afterAutospacing="1"/>
        <w:ind w:firstLine="567"/>
        <w:jc w:val="both"/>
      </w:pPr>
      <w:r>
        <w:lastRenderedPageBreak/>
        <w:t xml:space="preserve">Федеральным законом от 21 июля 2005 года №102-ФЗ </w:t>
      </w:r>
      <w:r w:rsidR="00133766">
        <w:t>(</w:t>
      </w:r>
      <w:r w:rsidR="00133766" w:rsidRPr="00133766">
        <w:t>Редакция от 22.12.2020 — Действует с 01.01.2021</w:t>
      </w:r>
      <w:r w:rsidR="00133766">
        <w:t>)</w:t>
      </w:r>
      <w:r w:rsidR="00133766" w:rsidRPr="00133766">
        <w:t xml:space="preserve"> </w:t>
      </w:r>
      <w:r>
        <w:t>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продукции» и о признании утратившими силу отдельных положений Федерального закона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продукции» с 1 января 2006 года из видов деятельности, подлежащих лицензированию, исключены:</w:t>
      </w:r>
    </w:p>
    <w:p w:rsidR="002E76B7" w:rsidRDefault="001238D0">
      <w:pPr>
        <w:spacing w:beforeAutospacing="1" w:afterAutospacing="1"/>
        <w:ind w:firstLine="567"/>
        <w:jc w:val="both"/>
      </w:pPr>
      <w:r>
        <w:t>- закупка, хранение и экспорт этилового спирта и алкогольной продукции;</w:t>
      </w:r>
    </w:p>
    <w:p w:rsidR="002E76B7" w:rsidRDefault="001238D0">
      <w:pPr>
        <w:spacing w:beforeAutospacing="1" w:afterAutospacing="1"/>
        <w:ind w:firstLine="567"/>
        <w:jc w:val="both"/>
      </w:pPr>
      <w:r>
        <w:t>- экспорт алкогольной продукции;</w:t>
      </w:r>
    </w:p>
    <w:p w:rsidR="002E76B7" w:rsidRDefault="001238D0">
      <w:pPr>
        <w:spacing w:beforeAutospacing="1" w:afterAutospacing="1"/>
        <w:ind w:firstLine="567"/>
        <w:jc w:val="both"/>
      </w:pPr>
      <w:r>
        <w:t>- импорт, хранение и поставки этилового спирта, алкогольной и спиртосодержащей пищевой продукции.</w:t>
      </w:r>
    </w:p>
    <w:p w:rsidR="002E76B7" w:rsidRDefault="001238D0">
      <w:pPr>
        <w:spacing w:beforeAutospacing="1" w:afterAutospacing="1"/>
        <w:ind w:firstLine="567"/>
        <w:jc w:val="both"/>
      </w:pPr>
      <w:r>
        <w:t>Из этого следует, что не подлежит лицензированию деятельность аптечных складов и аптек, осуществляющих закупку, хранение, фасовку и реализацию спирта этилового и фармакопейного.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Фармакопейный спирт, в соответствии с пунктом 3 статьи 1 Федерального закона от 22 ноября 1995 года №171-ФЗ </w:t>
      </w:r>
      <w:r w:rsidR="00133766">
        <w:t xml:space="preserve">(с изменениями и дополнениями) </w:t>
      </w:r>
      <w:bookmarkStart w:id="2" w:name="_GoBack"/>
      <w:bookmarkEnd w:id="2"/>
      <w:r>
        <w:t>«О государственном регулировании производства и оборота этилового спирта, алкогольной и спиртосодержащей продукции» (далее - Закон №171-ФЗ), под действие данного закона не подпадает:</w:t>
      </w:r>
    </w:p>
    <w:p w:rsidR="002E76B7" w:rsidRDefault="001238D0">
      <w:pPr>
        <w:spacing w:beforeAutospacing="1" w:afterAutospacing="1"/>
        <w:ind w:firstLine="567"/>
        <w:jc w:val="both"/>
      </w:pPr>
      <w:r>
        <w:rPr>
          <w:i/>
          <w:iCs/>
        </w:rPr>
        <w:t>«…деятельность организаций, связанная с производством и оборотом лекарственных, лечебно-профилактических, диагностических средств, содержащих этиловый спирт, зарегистрированных уполномоченным федеральным органом исполнительной власти и внесенных в Государственный реестр лекарственных средств, изделий медицинского назначения, а также деятельность аптечных учреждений, связанную с изготовлением средств по индивидуальным рецептам, в том числе гомеопатических препаратов, препаратов ветеринарного назначения, парфюмерно-косметической продукции, прошедших государственную регистрацию в уполномоченных федеральных органах исполнительной власти».</w:t>
      </w:r>
    </w:p>
    <w:p w:rsidR="002E76B7" w:rsidRDefault="001238D0">
      <w:pPr>
        <w:spacing w:beforeAutospacing="1" w:afterAutospacing="1"/>
        <w:ind w:firstLine="567"/>
        <w:jc w:val="both"/>
      </w:pPr>
      <w:r>
        <w:t>Но при этом ими должны быть выполнены определенные условия, предусмотренные подпунктом 3 статьи 1 Закона №171-ФЗ:</w:t>
      </w:r>
    </w:p>
    <w:p w:rsidR="002E76B7" w:rsidRDefault="001238D0">
      <w:pPr>
        <w:spacing w:beforeAutospacing="1" w:afterAutospacing="1"/>
        <w:ind w:firstLine="567"/>
        <w:jc w:val="both"/>
      </w:pPr>
      <w:r>
        <w:t>- деятельность аптечных и медицинских учреждений должна быть связана с производством и оборотом лекарственных, лечебно-профилактических или диагностических средств, содержащих этиловый спирт, при условии регистрации таких средств уполномоченным федеральным органом исполнительной власти и внесения их в Государственный реестр лекарственных средств и изделий медицинского назначения;</w:t>
      </w:r>
    </w:p>
    <w:p w:rsidR="002E76B7" w:rsidRDefault="001238D0">
      <w:pPr>
        <w:spacing w:beforeAutospacing="1" w:afterAutospacing="1"/>
        <w:ind w:firstLine="567"/>
        <w:jc w:val="both"/>
      </w:pPr>
      <w:r>
        <w:t>- деятельность аптечных учреждений должна быть связана с изготовлением спиртосодержащих средств по индивидуальным рецептам, в том числе изготовлением гомеопатических препаратов, препаратов ветеринарного назначения, парфюмерно-косметической продукции, при условии государственной регистрации таких средств в уполномоченных федеральных органах исполнительной власти.</w:t>
      </w:r>
    </w:p>
    <w:p w:rsidR="002E76B7" w:rsidRDefault="001238D0">
      <w:pPr>
        <w:spacing w:beforeAutospacing="1" w:afterAutospacing="1"/>
        <w:jc w:val="center"/>
        <w:rPr>
          <w:b/>
          <w:bCs/>
        </w:rPr>
      </w:pPr>
      <w:r>
        <w:rPr>
          <w:b/>
          <w:bCs/>
        </w:rPr>
        <w:lastRenderedPageBreak/>
        <w:t xml:space="preserve">БУХГАЛТЕРСКИЙ УЧЕТ </w:t>
      </w:r>
      <w:r w:rsidR="009F5B5D">
        <w:rPr>
          <w:b/>
          <w:bCs/>
        </w:rPr>
        <w:t>ЛЕКАРСТВЕННЫХ ПРЕПАРАТОВ</w:t>
      </w:r>
    </w:p>
    <w:p w:rsidR="00E72A9D" w:rsidRPr="00E72A9D" w:rsidRDefault="001238D0" w:rsidP="00E72A9D">
      <w:pPr>
        <w:spacing w:beforeAutospacing="1" w:afterAutospacing="1"/>
        <w:ind w:firstLine="567"/>
        <w:jc w:val="both"/>
      </w:pPr>
      <w:r>
        <w:t xml:space="preserve">Бухгалтерский учет </w:t>
      </w:r>
      <w:r w:rsidR="001647C8">
        <w:t xml:space="preserve">лекарственных препаратов и медицинских материалов </w:t>
      </w:r>
      <w:r>
        <w:t>осуществляют сотрудники бухгалтерии в соответствии с Инструкцией №157н.</w:t>
      </w:r>
      <w:r w:rsidR="00E72A9D">
        <w:t xml:space="preserve"> и Приказом</w:t>
      </w:r>
      <w:r w:rsidR="00E72A9D" w:rsidRPr="00E72A9D">
        <w:br/>
        <w:t>от 16 декабря 2010 г. N 174н</w:t>
      </w:r>
      <w:r w:rsidR="00E72A9D">
        <w:t>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На счете 4 10531 000 </w:t>
      </w:r>
      <w:r w:rsidR="001647C8">
        <w:t>Отражаются л</w:t>
      </w:r>
      <w:r>
        <w:t>екарственные пре</w:t>
      </w:r>
      <w:r w:rsidR="001647C8">
        <w:t>параты и медицинские материалы</w:t>
      </w:r>
      <w:r>
        <w:t>, приобретенные или изготовленные за счет бюджетных средств.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На счете 2 10531 000 </w:t>
      </w:r>
      <w:r w:rsidR="001647C8">
        <w:t>Отражаются лекарственные препараты и медицинские материалы, приобретенные или изготовленные</w:t>
      </w:r>
      <w:r>
        <w:t xml:space="preserve"> за счет внебюджетных средств.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На счете 5 10531 000 </w:t>
      </w:r>
      <w:r w:rsidR="001647C8">
        <w:t>Отражаются лекарственные препараты и медицинские материалы, приобретенные или изготовленные</w:t>
      </w:r>
      <w:r>
        <w:t xml:space="preserve"> за счет средств национальных проектов.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На счете 7 10531 000 </w:t>
      </w:r>
      <w:r w:rsidR="001647C8">
        <w:t>Отражаются лекарственные препараты и медицинские материалы, приобретенные или изготовленные</w:t>
      </w:r>
      <w:r>
        <w:t xml:space="preserve"> за счет средств ОМС.</w:t>
      </w:r>
    </w:p>
    <w:p w:rsidR="002E76B7" w:rsidRDefault="001238D0">
      <w:pPr>
        <w:spacing w:beforeAutospacing="1" w:afterAutospacing="1"/>
        <w:jc w:val="center"/>
      </w:pPr>
      <w:r>
        <w:rPr>
          <w:b/>
          <w:bCs/>
        </w:rPr>
        <w:t>ОСОБЕННОСТИ ПРОВЕДЕНИЯ ИНВЕНТАРИЗАЦИИ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Все </w:t>
      </w:r>
      <w:r w:rsidR="009077B6">
        <w:t>лекарственных препаратов и медицинские материалы</w:t>
      </w:r>
      <w:r w:rsidR="009F5B5D">
        <w:t xml:space="preserve"> </w:t>
      </w:r>
      <w:r>
        <w:t>подлежат ежегодной инвентариза</w:t>
      </w:r>
      <w:r>
        <w:softHyphen/>
        <w:t>ции, кроме случаев, когда ее проведение обязательно в соответствии с законо</w:t>
      </w:r>
      <w:r>
        <w:softHyphen/>
        <w:t xml:space="preserve">дательством. 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Лекарственные средства, подлежащие предметно-количественному учету, инвентаризируются по видам, наименованиям, фасовкам, лекарственным формам и дозировкам не менее одного раза в год, но не позднее 1 декабря отчетного года. </w:t>
      </w:r>
    </w:p>
    <w:p w:rsidR="002E76B7" w:rsidRDefault="001238D0">
      <w:pPr>
        <w:spacing w:beforeAutospacing="1" w:afterAutospacing="1"/>
        <w:ind w:firstLine="567"/>
        <w:jc w:val="both"/>
      </w:pPr>
      <w:r>
        <w:t>Выявленные при инвентаризации недостачи лекарственных средств в пределах установленных норм естественной убыли списываются на основании распоря</w:t>
      </w:r>
      <w:r>
        <w:softHyphen/>
        <w:t xml:space="preserve">жения руководителя учреждения здравоохранения. </w:t>
      </w:r>
    </w:p>
    <w:p w:rsidR="002E76B7" w:rsidRDefault="001238D0">
      <w:pPr>
        <w:spacing w:beforeAutospacing="1" w:afterAutospacing="1"/>
        <w:ind w:firstLine="567"/>
        <w:jc w:val="both"/>
      </w:pPr>
      <w:r>
        <w:t>Под естественной убылью лекарственных средств и изделий медицинского на</w:t>
      </w:r>
      <w:r>
        <w:softHyphen/>
        <w:t>значения понимается потеря (уменьшение массы лекарственных средств при сохранении их качества в пределах требований (норм), устанавливаемых нор</w:t>
      </w:r>
      <w:r>
        <w:softHyphen/>
        <w:t>мативными правовыми актами), являющаяся следствием естественного измене</w:t>
      </w:r>
      <w:r>
        <w:softHyphen/>
        <w:t xml:space="preserve">ния биологических и (или) физико-химических свойств лекарственных средств. 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Естественная убыль </w:t>
      </w:r>
      <w:r w:rsidR="009F5B5D" w:rsidRPr="00E2569C">
        <w:t>лекарственных препаратов и изделий медицинского назначения</w:t>
      </w:r>
      <w:r>
        <w:t xml:space="preserve"> может возникнуть в результате: </w:t>
      </w:r>
    </w:p>
    <w:p w:rsidR="002E76B7" w:rsidRDefault="001238D0">
      <w:pPr>
        <w:numPr>
          <w:ilvl w:val="0"/>
          <w:numId w:val="1"/>
        </w:numPr>
        <w:spacing w:beforeAutospacing="1"/>
        <w:ind w:firstLine="567"/>
        <w:jc w:val="both"/>
      </w:pPr>
      <w:r>
        <w:t xml:space="preserve">распыления порошковых препаратов; </w:t>
      </w:r>
    </w:p>
    <w:p w:rsidR="002E76B7" w:rsidRDefault="001238D0">
      <w:pPr>
        <w:numPr>
          <w:ilvl w:val="0"/>
          <w:numId w:val="1"/>
        </w:numPr>
        <w:ind w:firstLine="567"/>
        <w:jc w:val="both"/>
      </w:pPr>
      <w:proofErr w:type="spellStart"/>
      <w:r>
        <w:t>раскрошки</w:t>
      </w:r>
      <w:proofErr w:type="spellEnd"/>
      <w:r>
        <w:t xml:space="preserve">; </w:t>
      </w:r>
    </w:p>
    <w:p w:rsidR="002E76B7" w:rsidRDefault="001238D0">
      <w:pPr>
        <w:numPr>
          <w:ilvl w:val="0"/>
          <w:numId w:val="1"/>
        </w:numPr>
        <w:ind w:firstLine="567"/>
        <w:jc w:val="both"/>
      </w:pPr>
      <w:r>
        <w:t xml:space="preserve">утечки; </w:t>
      </w:r>
    </w:p>
    <w:p w:rsidR="002E76B7" w:rsidRDefault="001238D0">
      <w:pPr>
        <w:numPr>
          <w:ilvl w:val="0"/>
          <w:numId w:val="1"/>
        </w:numPr>
        <w:spacing w:afterAutospacing="1"/>
        <w:ind w:firstLine="567"/>
        <w:jc w:val="both"/>
      </w:pPr>
      <w:r>
        <w:t xml:space="preserve">разлива при перекачке и продаже жидких лекарств и др. 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Кроме того, возможна порча и повреждение </w:t>
      </w:r>
      <w:r w:rsidR="009077B6">
        <w:t>лекарственных препаратов и медицинских материалов</w:t>
      </w:r>
      <w:r>
        <w:t xml:space="preserve"> в процессе их транс</w:t>
      </w:r>
      <w:r>
        <w:softHyphen/>
        <w:t xml:space="preserve">портировки, хранения и продажи. </w:t>
      </w:r>
    </w:p>
    <w:p w:rsidR="002E76B7" w:rsidRDefault="001238D0">
      <w:pPr>
        <w:spacing w:beforeAutospacing="1" w:afterAutospacing="1"/>
        <w:ind w:firstLine="567"/>
        <w:jc w:val="both"/>
      </w:pPr>
      <w:r>
        <w:lastRenderedPageBreak/>
        <w:t xml:space="preserve">К естественной убыли не относятся: </w:t>
      </w:r>
    </w:p>
    <w:p w:rsidR="002E76B7" w:rsidRDefault="001238D0">
      <w:pPr>
        <w:numPr>
          <w:ilvl w:val="0"/>
          <w:numId w:val="2"/>
        </w:numPr>
        <w:spacing w:beforeAutospacing="1"/>
        <w:jc w:val="both"/>
      </w:pPr>
      <w:r>
        <w:t xml:space="preserve">потери </w:t>
      </w:r>
      <w:r w:rsidR="009077B6">
        <w:t>лекарственных препаратов и медицинских материалов</w:t>
      </w:r>
      <w:r>
        <w:t xml:space="preserve"> при хранении и транспортировке, вызванные нару</w:t>
      </w:r>
      <w:r>
        <w:softHyphen/>
        <w:t>шением требований стандартов, технических и технологических условий и правил технической эксплуатации, повреждением тары, несовершенст</w:t>
      </w:r>
      <w:r>
        <w:softHyphen/>
        <w:t xml:space="preserve">вом средств защиты </w:t>
      </w:r>
      <w:r w:rsidR="009077B6">
        <w:t>лекарственных препаратов и медицинских материалов</w:t>
      </w:r>
      <w:r>
        <w:t xml:space="preserve"> от потерь и состоянием применяемого технологического оборудования; </w:t>
      </w:r>
    </w:p>
    <w:p w:rsidR="002E76B7" w:rsidRDefault="001238D0">
      <w:pPr>
        <w:numPr>
          <w:ilvl w:val="0"/>
          <w:numId w:val="2"/>
        </w:numPr>
        <w:jc w:val="both"/>
      </w:pPr>
      <w:r>
        <w:t xml:space="preserve">потери при ремонте или профилактике применяемого для хранения и транспортировки технологического оборудования; </w:t>
      </w:r>
    </w:p>
    <w:p w:rsidR="002E76B7" w:rsidRDefault="001238D0">
      <w:pPr>
        <w:numPr>
          <w:ilvl w:val="0"/>
          <w:numId w:val="2"/>
        </w:numPr>
        <w:jc w:val="both"/>
      </w:pPr>
      <w:r>
        <w:t xml:space="preserve">потери при внутренних складских операциях; </w:t>
      </w:r>
    </w:p>
    <w:p w:rsidR="002E76B7" w:rsidRDefault="001238D0">
      <w:pPr>
        <w:numPr>
          <w:ilvl w:val="0"/>
          <w:numId w:val="2"/>
        </w:numPr>
        <w:jc w:val="both"/>
      </w:pPr>
      <w:r>
        <w:t xml:space="preserve">потери при авариях и других чрезвычайных обстоятельствах; </w:t>
      </w:r>
    </w:p>
    <w:p w:rsidR="002E76B7" w:rsidRDefault="001238D0">
      <w:pPr>
        <w:numPr>
          <w:ilvl w:val="0"/>
          <w:numId w:val="2"/>
        </w:numPr>
        <w:spacing w:afterAutospacing="1"/>
        <w:jc w:val="both"/>
      </w:pPr>
      <w:r>
        <w:t>технологические потери (потери в процессе производства, обусловлен</w:t>
      </w:r>
      <w:r>
        <w:softHyphen/>
        <w:t xml:space="preserve">ные особенностями производственного цикла и транспортировки). </w:t>
      </w:r>
    </w:p>
    <w:p w:rsidR="002E76B7" w:rsidRDefault="001238D0">
      <w:pPr>
        <w:spacing w:beforeAutospacing="1" w:afterAutospacing="1"/>
        <w:ind w:firstLine="567"/>
        <w:jc w:val="both"/>
      </w:pPr>
      <w:r>
        <w:t xml:space="preserve">Нормы естественной убыли к готовым </w:t>
      </w:r>
      <w:r w:rsidR="009077B6">
        <w:t>лекарственным препаратам и медицинским материалам</w:t>
      </w:r>
      <w:r>
        <w:t xml:space="preserve"> заводского изготовления не применяются. </w:t>
      </w:r>
    </w:p>
    <w:p w:rsidR="002E76B7" w:rsidRDefault="001238D0">
      <w:pPr>
        <w:spacing w:beforeAutospacing="1" w:afterAutospacing="1"/>
        <w:ind w:firstLine="567"/>
        <w:jc w:val="both"/>
      </w:pPr>
      <w:r>
        <w:t>Нормы естественной убыли должны применяться только по тому наименова</w:t>
      </w:r>
      <w:r>
        <w:softHyphen/>
        <w:t xml:space="preserve">нию ценностей, по которым была установлена недостача при инвентаризации или порча во время хранения и транспортировки. </w:t>
      </w:r>
    </w:p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516"/>
        <w:gridCol w:w="6737"/>
        <w:gridCol w:w="2426"/>
      </w:tblGrid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bookmarkStart w:id="3" w:name="l22"/>
            <w:bookmarkStart w:id="4" w:name="l21"/>
            <w:bookmarkStart w:id="5" w:name="l20"/>
            <w:bookmarkStart w:id="6" w:name="l19"/>
            <w:bookmarkStart w:id="7" w:name="l18"/>
            <w:bookmarkStart w:id="8" w:name="l17"/>
            <w:bookmarkStart w:id="9" w:name="l16"/>
            <w:bookmarkStart w:id="10" w:name="l15"/>
            <w:bookmarkStart w:id="11" w:name="l14"/>
            <w:bookmarkStart w:id="12" w:name="l13"/>
            <w:bookmarkStart w:id="13" w:name="l12"/>
            <w:bookmarkStart w:id="14" w:name="l11"/>
            <w:bookmarkStart w:id="15" w:name="l10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>
              <w:rPr>
                <w:color w:val="000000"/>
              </w:rPr>
              <w:t>п/п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Нормы естественной убыли, %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ЛЕКАРСТВЕННЫЕ СРЕДСТВА: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Изготовление лекарственных средств по рецептам и требованиям учреждений здравоохранения, внутриаптечной заготовке и фасовке.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1,80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гомеопатических лекарственных средств.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0,80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 w:rsidP="00145C5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Отвешивание</w:t>
            </w:r>
            <w:proofErr w:type="spellEnd"/>
            <w:r>
              <w:rPr>
                <w:color w:val="000000"/>
              </w:rPr>
              <w:t xml:space="preserve"> и отмеривание </w:t>
            </w:r>
            <w:r w:rsidR="00145C5E">
              <w:rPr>
                <w:color w:val="000000"/>
              </w:rPr>
              <w:t xml:space="preserve">лекарственных </w:t>
            </w:r>
            <w:proofErr w:type="spellStart"/>
            <w:r w:rsidR="00145C5E">
              <w:rPr>
                <w:color w:val="000000"/>
              </w:rPr>
              <w:t>средст</w:t>
            </w:r>
            <w:proofErr w:type="spellEnd"/>
            <w:r>
              <w:rPr>
                <w:color w:val="000000"/>
              </w:rPr>
              <w:t xml:space="preserve"> в аптечную тару без дополнительных технологических операций (смешивание, растворение, разделение на дозы).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0,65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НАРКОТИЧЕСКИЕ СРЕДСТВА, ПСИХОТРОПНЫЕ ВЕЩЕСТВА И ИХ </w:t>
            </w:r>
            <w:bookmarkStart w:id="16" w:name="l55"/>
            <w:bookmarkEnd w:id="16"/>
            <w:r>
              <w:rPr>
                <w:color w:val="000000"/>
              </w:rPr>
              <w:t>ПРЕКУРСОРЫ, ЛЕКАРСТВЕННЫЕ СРЕДСТВА СПИСКОВ ПККН, ДРУГИЕ ЛЕКАРСТВЕННЫЕ СРЕДСТВА, ПОДЛЕЖАЩИЕ ПРЕДМЕТНО - КОЛИЧЕСТВЕННОМУ УЧЕТУ: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Индивидуальное изготовление лекарственных средств по рецептам и требованиям учреждений здравоохранения, в том числе по гомеопатическим прописям.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Отвешивание</w:t>
            </w:r>
            <w:proofErr w:type="spellEnd"/>
            <w:r>
              <w:rPr>
                <w:color w:val="000000"/>
              </w:rPr>
              <w:t> и отмеривание их в аптечную тару без дополнительных технологических операций (смешивание, растворение, разделение на дозы).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ЭТИЛОВЫЙ СПИРТ: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bookmarkStart w:id="17" w:name="l59"/>
            <w:bookmarkEnd w:id="17"/>
            <w:r>
              <w:rPr>
                <w:color w:val="000000"/>
              </w:rPr>
              <w:t>Индивидуальное изготовление лекарственных средств, в том числе по гомеопатическим прописям.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</w:tr>
      <w:tr w:rsidR="002E76B7"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3.2.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 w:rsidP="00145C5E">
            <w:pPr>
              <w:rPr>
                <w:color w:val="000000"/>
              </w:rPr>
            </w:pPr>
            <w:bookmarkStart w:id="18" w:name="l56"/>
            <w:bookmarkEnd w:id="18"/>
            <w:proofErr w:type="spellStart"/>
            <w:r>
              <w:rPr>
                <w:color w:val="000000"/>
              </w:rPr>
              <w:t>Отвешивание</w:t>
            </w:r>
            <w:proofErr w:type="spellEnd"/>
            <w:r>
              <w:rPr>
                <w:color w:val="000000"/>
              </w:rPr>
              <w:t xml:space="preserve"> спирта в аптечную тару без дополнительных технологических операций (смешивание с другими </w:t>
            </w:r>
            <w:r w:rsidR="00145C5E">
              <w:rPr>
                <w:color w:val="000000"/>
              </w:rPr>
              <w:t>лекарственными средствами</w:t>
            </w:r>
            <w:r>
              <w:rPr>
                <w:color w:val="000000"/>
              </w:rPr>
              <w:t>, разделение на дозы).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0,65</w:t>
            </w:r>
          </w:p>
        </w:tc>
      </w:tr>
      <w:tr w:rsidR="002E76B7">
        <w:trPr>
          <w:trHeight w:val="1373"/>
        </w:trPr>
        <w:tc>
          <w:tcPr>
            <w:tcW w:w="505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КИСЛОРОД</w:t>
            </w:r>
          </w:p>
          <w:p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Разрешено списание за счет испарения жидкости при нагревании окружающего воздуха (таблица технических характеристик).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</w:tbl>
    <w:p w:rsidR="002E76B7" w:rsidRDefault="001238D0">
      <w:pPr>
        <w:spacing w:beforeAutospacing="1" w:afterAutospacing="1"/>
        <w:ind w:firstLine="567"/>
        <w:jc w:val="both"/>
      </w:pPr>
      <w:r>
        <w:t>Руководители учреждений здравоохранения обязаны лично рассматривать ма</w:t>
      </w:r>
      <w:r>
        <w:softHyphen/>
        <w:t xml:space="preserve">териалы инвентаризации в течение 10 дней после ее окончания. </w:t>
      </w:r>
    </w:p>
    <w:p w:rsidR="002E76B7" w:rsidRDefault="001238D0">
      <w:pPr>
        <w:spacing w:beforeAutospacing="1" w:afterAutospacing="1"/>
        <w:ind w:firstLine="567"/>
        <w:jc w:val="both"/>
      </w:pPr>
      <w:r>
        <w:t>Размер естественной убыли определяется по форме “Расчет естественной убы</w:t>
      </w:r>
      <w:r>
        <w:softHyphen/>
        <w:t xml:space="preserve">ли лекарственных средств и изделий медицинского назначения”. </w:t>
      </w:r>
    </w:p>
    <w:p w:rsidR="00145C5E" w:rsidRDefault="00145C5E">
      <w:pPr>
        <w:spacing w:beforeAutospacing="1" w:afterAutospacing="1"/>
        <w:ind w:firstLine="567"/>
        <w:jc w:val="both"/>
      </w:pPr>
    </w:p>
    <w:p w:rsidR="00145C5E" w:rsidRDefault="00145C5E">
      <w:pPr>
        <w:spacing w:beforeAutospacing="1" w:afterAutospacing="1"/>
        <w:ind w:firstLine="567"/>
        <w:jc w:val="both"/>
      </w:pPr>
    </w:p>
    <w:p w:rsidR="00CE5202" w:rsidRDefault="00CE5202">
      <w:pPr>
        <w:spacing w:beforeAutospacing="1" w:afterAutospacing="1"/>
        <w:ind w:firstLine="567"/>
        <w:jc w:val="both"/>
      </w:pPr>
    </w:p>
    <w:p w:rsidR="00145C5E" w:rsidRDefault="00145C5E">
      <w:pPr>
        <w:spacing w:beforeAutospacing="1" w:afterAutospacing="1"/>
        <w:ind w:firstLine="567"/>
        <w:jc w:val="both"/>
      </w:pPr>
    </w:p>
    <w:p w:rsidR="00EA5F85" w:rsidRDefault="00EA5F85">
      <w:pPr>
        <w:spacing w:beforeAutospacing="1" w:afterAutospacing="1"/>
        <w:ind w:firstLine="567"/>
        <w:jc w:val="both"/>
      </w:pP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2935"/>
        <w:gridCol w:w="946"/>
        <w:gridCol w:w="3697"/>
        <w:gridCol w:w="1561"/>
        <w:gridCol w:w="550"/>
      </w:tblGrid>
      <w:tr w:rsidR="002E76B7" w:rsidTr="00E72A9D">
        <w:tc>
          <w:tcPr>
            <w:tcW w:w="8824" w:type="dxa"/>
            <w:gridSpan w:val="4"/>
            <w:shd w:val="clear" w:color="auto" w:fill="auto"/>
          </w:tcPr>
          <w:p w:rsidR="002E76B7" w:rsidRDefault="001238D0">
            <w:pPr>
              <w:spacing w:after="300"/>
              <w:jc w:val="right"/>
            </w:pPr>
            <w:r>
              <w:t>"УТВЕРЖДАЮ"</w:t>
            </w:r>
          </w:p>
        </w:tc>
        <w:tc>
          <w:tcPr>
            <w:tcW w:w="53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76B7" w:rsidRDefault="002E76B7"/>
        </w:tc>
      </w:tr>
      <w:tr w:rsidR="002E76B7" w:rsidTr="00E72A9D">
        <w:tc>
          <w:tcPr>
            <w:tcW w:w="3747" w:type="dxa"/>
            <w:gridSpan w:val="2"/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608" w:type="dxa"/>
            <w:gridSpan w:val="3"/>
            <w:shd w:val="clear" w:color="auto" w:fill="auto"/>
          </w:tcPr>
          <w:p w:rsidR="002E76B7" w:rsidRDefault="001238D0">
            <w:pPr>
              <w:spacing w:after="300"/>
            </w:pPr>
            <w:r>
              <w:t>Руководитель учреждения</w:t>
            </w:r>
          </w:p>
        </w:tc>
      </w:tr>
      <w:tr w:rsidR="002E76B7" w:rsidTr="00E72A9D">
        <w:tc>
          <w:tcPr>
            <w:tcW w:w="3747" w:type="dxa"/>
            <w:gridSpan w:val="2"/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3570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507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31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</w:tr>
      <w:tr w:rsidR="002E76B7" w:rsidTr="00E72A9D">
        <w:tc>
          <w:tcPr>
            <w:tcW w:w="3747" w:type="dxa"/>
            <w:gridSpan w:val="2"/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3570" w:type="dxa"/>
            <w:tcBorders>
              <w:top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подпись</w:t>
            </w:r>
          </w:p>
        </w:tc>
        <w:tc>
          <w:tcPr>
            <w:tcW w:w="2038" w:type="dxa"/>
            <w:gridSpan w:val="2"/>
            <w:tcBorders>
              <w:top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фамилия, </w:t>
            </w:r>
            <w:proofErr w:type="spellStart"/>
            <w:r>
              <w:t>и.о</w:t>
            </w:r>
            <w:proofErr w:type="spellEnd"/>
            <w:r>
              <w:t>.</w:t>
            </w:r>
          </w:p>
        </w:tc>
      </w:tr>
      <w:tr w:rsidR="002E76B7" w:rsidTr="00E72A9D">
        <w:tc>
          <w:tcPr>
            <w:tcW w:w="3747" w:type="dxa"/>
            <w:gridSpan w:val="2"/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608" w:type="dxa"/>
            <w:gridSpan w:val="3"/>
            <w:shd w:val="clear" w:color="auto" w:fill="auto"/>
          </w:tcPr>
          <w:p w:rsidR="002E76B7" w:rsidRDefault="001238D0">
            <w:pPr>
              <w:spacing w:after="300"/>
            </w:pPr>
            <w:r>
              <w:t>"__" _________________ 200_ г.</w:t>
            </w:r>
          </w:p>
        </w:tc>
      </w:tr>
      <w:tr w:rsidR="002E76B7" w:rsidTr="00E72A9D">
        <w:tc>
          <w:tcPr>
            <w:tcW w:w="3747" w:type="dxa"/>
            <w:gridSpan w:val="2"/>
            <w:shd w:val="clear" w:color="auto" w:fill="auto"/>
          </w:tcPr>
          <w:p w:rsidR="002E76B7" w:rsidRDefault="001238D0">
            <w:pPr>
              <w:spacing w:after="300"/>
            </w:pPr>
            <w:bookmarkStart w:id="19" w:name="l72"/>
            <w:bookmarkEnd w:id="19"/>
            <w:r>
              <w:t>Наименование организации</w:t>
            </w:r>
          </w:p>
        </w:tc>
        <w:tc>
          <w:tcPr>
            <w:tcW w:w="5608" w:type="dxa"/>
            <w:gridSpan w:val="3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</w:tr>
      <w:tr w:rsidR="002E76B7" w:rsidTr="00E72A9D">
        <w:tc>
          <w:tcPr>
            <w:tcW w:w="2834" w:type="dxa"/>
            <w:shd w:val="clear" w:color="auto" w:fill="auto"/>
          </w:tcPr>
          <w:p w:rsidR="002E76B7" w:rsidRDefault="001238D0">
            <w:pPr>
              <w:spacing w:after="300"/>
            </w:pPr>
            <w:r>
              <w:t>Отдел</w:t>
            </w:r>
          </w:p>
        </w:tc>
        <w:tc>
          <w:tcPr>
            <w:tcW w:w="913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608" w:type="dxa"/>
            <w:gridSpan w:val="3"/>
            <w:tcBorders>
              <w:top w:val="single" w:sz="6" w:space="0" w:color="00000A"/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</w:tr>
    </w:tbl>
    <w:p w:rsidR="002E76B7" w:rsidRDefault="001238D0">
      <w:pPr>
        <w:pStyle w:val="2"/>
        <w:shd w:val="clear" w:color="auto" w:fill="FFFFFF"/>
        <w:spacing w:before="411" w:after="274" w:line="343" w:lineRule="atLeast"/>
        <w:ind w:left="395"/>
        <w:jc w:val="center"/>
        <w:textAlignment w:val="baseline"/>
        <w:rPr>
          <w:color w:val="000000"/>
          <w:sz w:val="22"/>
          <w:szCs w:val="22"/>
        </w:rPr>
      </w:pPr>
      <w:bookmarkStart w:id="20" w:name="l69"/>
      <w:bookmarkEnd w:id="20"/>
      <w:r>
        <w:rPr>
          <w:b/>
          <w:bCs/>
          <w:color w:val="000000"/>
          <w:sz w:val="22"/>
          <w:szCs w:val="22"/>
        </w:rPr>
        <w:lastRenderedPageBreak/>
        <w:t>РАСЧЕТ</w:t>
      </w:r>
      <w:r>
        <w:rPr>
          <w:b/>
          <w:bCs/>
          <w:color w:val="000000"/>
          <w:sz w:val="22"/>
          <w:szCs w:val="22"/>
        </w:rPr>
        <w:br/>
        <w:t>ЕСТЕСТВЕННОЙ УБЫЛИ ЛЕКАРСТВЕННЫХ СРЕДСТВ </w:t>
      </w:r>
      <w:r w:rsidR="000F725B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br/>
        <w:t>за период с __________ 200_ г. по __________ 200_ г.</w:t>
      </w:r>
    </w:p>
    <w:p w:rsidR="002E76B7" w:rsidRDefault="001238D0">
      <w:pPr>
        <w:spacing w:after="300"/>
      </w:pPr>
      <w:bookmarkStart w:id="21" w:name="l73"/>
      <w:bookmarkEnd w:id="21"/>
      <w:r>
        <w:t>Ответственное лицо</w:t>
      </w:r>
    </w:p>
    <w:p w:rsidR="002E76B7" w:rsidRDefault="001238D0">
      <w:pPr>
        <w:spacing w:after="300"/>
      </w:pPr>
      <w:r>
        <w:t> </w:t>
      </w:r>
    </w:p>
    <w:p w:rsidR="002E76B7" w:rsidRDefault="001238D0">
      <w:pPr>
        <w:spacing w:after="300"/>
      </w:pPr>
      <w:r>
        <w:t> </w:t>
      </w:r>
    </w:p>
    <w:p w:rsidR="002E76B7" w:rsidRDefault="001238D0">
      <w:pPr>
        <w:spacing w:after="300"/>
      </w:pPr>
      <w:r>
        <w:t> </w:t>
      </w:r>
    </w:p>
    <w:p w:rsidR="002E76B7" w:rsidRDefault="001238D0">
      <w:pPr>
        <w:spacing w:after="300"/>
      </w:pPr>
      <w:r>
        <w:t> </w:t>
      </w:r>
    </w:p>
    <w:p w:rsidR="002E76B7" w:rsidRDefault="001238D0">
      <w:pPr>
        <w:spacing w:after="300"/>
      </w:pPr>
      <w:r>
        <w:t>должность, фамилия, и., о.</w:t>
      </w:r>
    </w:p>
    <w:p w:rsidR="002E76B7" w:rsidRDefault="001238D0">
      <w:pPr>
        <w:pStyle w:val="a9"/>
        <w:shd w:val="clear" w:color="auto" w:fill="FFFFFF"/>
        <w:spacing w:beforeAutospacing="0" w:after="300" w:afterAutospacing="0"/>
        <w:jc w:val="right"/>
        <w:textAlignment w:val="baseline"/>
        <w:rPr>
          <w:color w:val="000000"/>
        </w:rPr>
      </w:pPr>
      <w:bookmarkStart w:id="22" w:name="l74"/>
      <w:bookmarkEnd w:id="22"/>
      <w:r>
        <w:rPr>
          <w:i/>
          <w:iCs/>
          <w:color w:val="000000"/>
        </w:rPr>
        <w:t>(сумма)</w:t>
      </w:r>
    </w:p>
    <w:p w:rsidR="002E76B7" w:rsidRDefault="002E76B7">
      <w:pPr>
        <w:pStyle w:val="a9"/>
        <w:shd w:val="clear" w:color="auto" w:fill="FFFFFF"/>
        <w:spacing w:beforeAutospacing="0" w:after="300" w:afterAutospacing="0"/>
        <w:jc w:val="right"/>
        <w:textAlignment w:val="baseline"/>
        <w:rPr>
          <w:color w:val="000000"/>
        </w:rPr>
      </w:pPr>
    </w:p>
    <w:p w:rsidR="002E76B7" w:rsidRDefault="001238D0">
      <w:pPr>
        <w:spacing w:after="300"/>
      </w:pPr>
      <w:bookmarkStart w:id="23" w:name="l70"/>
      <w:bookmarkEnd w:id="23"/>
      <w:r>
        <w:t>N п/п</w:t>
      </w:r>
    </w:p>
    <w:p w:rsidR="002E76B7" w:rsidRDefault="001238D0">
      <w:pPr>
        <w:spacing w:after="300"/>
      </w:pPr>
      <w:r>
        <w:t>Наименование</w:t>
      </w:r>
    </w:p>
    <w:p w:rsidR="002E76B7" w:rsidRDefault="001238D0">
      <w:pPr>
        <w:spacing w:after="300"/>
      </w:pPr>
      <w:r>
        <w:t>Единица измерения</w:t>
      </w:r>
    </w:p>
    <w:p w:rsidR="002E76B7" w:rsidRDefault="001238D0">
      <w:pPr>
        <w:spacing w:after="300"/>
      </w:pPr>
      <w:r>
        <w:t xml:space="preserve">Оборот за </w:t>
      </w:r>
      <w:proofErr w:type="spellStart"/>
      <w:r>
        <w:t>межинвентаризационный</w:t>
      </w:r>
      <w:proofErr w:type="spellEnd"/>
      <w:r>
        <w:t xml:space="preserve"> период</w:t>
      </w:r>
    </w:p>
    <w:p w:rsidR="002E76B7" w:rsidRDefault="001238D0">
      <w:pPr>
        <w:spacing w:after="300"/>
      </w:pPr>
      <w:r>
        <w:t>Норма естественной убыли, %</w:t>
      </w:r>
    </w:p>
    <w:p w:rsidR="002E76B7" w:rsidRDefault="001238D0">
      <w:pPr>
        <w:spacing w:after="300"/>
      </w:pPr>
      <w:r>
        <w:t>Начислено по нормам естественной убыли</w:t>
      </w:r>
    </w:p>
    <w:p w:rsidR="002E76B7" w:rsidRDefault="001238D0">
      <w:pPr>
        <w:spacing w:after="300"/>
      </w:pPr>
      <w:r>
        <w:t>Списано по нормам естественной убыли</w:t>
      </w:r>
    </w:p>
    <w:p w:rsidR="002E76B7" w:rsidRDefault="001238D0">
      <w:pPr>
        <w:spacing w:after="300"/>
      </w:pPr>
      <w:r>
        <w:t>Недостача сверх норм естественной убыли</w:t>
      </w:r>
    </w:p>
    <w:p w:rsidR="002E76B7" w:rsidRDefault="001238D0">
      <w:pPr>
        <w:spacing w:after="300"/>
      </w:pPr>
      <w:bookmarkStart w:id="24" w:name="l75"/>
      <w:bookmarkEnd w:id="24"/>
      <w:r>
        <w:t>по нормам убыли</w:t>
      </w:r>
    </w:p>
    <w:p w:rsidR="002E76B7" w:rsidRDefault="001238D0">
      <w:pPr>
        <w:spacing w:after="300"/>
      </w:pPr>
      <w:r>
        <w:t> </w:t>
      </w:r>
    </w:p>
    <w:p w:rsidR="002E76B7" w:rsidRDefault="001238D0">
      <w:pPr>
        <w:spacing w:after="300"/>
      </w:pPr>
      <w:r>
        <w:t>сверх норм убыли</w:t>
      </w:r>
    </w:p>
    <w:p w:rsidR="002E76B7" w:rsidRDefault="001238D0">
      <w:pPr>
        <w:spacing w:after="300"/>
      </w:pPr>
      <w:r>
        <w:t> </w:t>
      </w:r>
    </w:p>
    <w:p w:rsidR="002E76B7" w:rsidRDefault="002E76B7">
      <w:pPr>
        <w:shd w:val="clear" w:color="auto" w:fill="FFFFFF"/>
        <w:textAlignment w:val="baseline"/>
        <w:rPr>
          <w:vanish/>
          <w:color w:val="000000"/>
        </w:rPr>
      </w:pPr>
      <w:bookmarkStart w:id="25" w:name="l71"/>
      <w:bookmarkEnd w:id="25"/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4952"/>
        <w:gridCol w:w="1811"/>
        <w:gridCol w:w="1464"/>
        <w:gridCol w:w="1462"/>
      </w:tblGrid>
      <w:tr w:rsidR="002E76B7">
        <w:tc>
          <w:tcPr>
            <w:tcW w:w="4782" w:type="dxa"/>
            <w:shd w:val="clear" w:color="auto" w:fill="auto"/>
          </w:tcPr>
          <w:p w:rsidR="002E76B7" w:rsidRDefault="00E72A9D">
            <w:pPr>
              <w:spacing w:after="300"/>
            </w:pPr>
            <w:bookmarkStart w:id="26" w:name="l76"/>
            <w:bookmarkEnd w:id="26"/>
            <w:r>
              <w:t xml:space="preserve">Расчет составил </w:t>
            </w:r>
          </w:p>
        </w:tc>
        <w:tc>
          <w:tcPr>
            <w:tcW w:w="1748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3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1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</w:tr>
      <w:tr w:rsidR="002E76B7">
        <w:tc>
          <w:tcPr>
            <w:tcW w:w="4782" w:type="dxa"/>
            <w:shd w:val="clear" w:color="auto" w:fill="auto"/>
          </w:tcPr>
          <w:p w:rsidR="002E76B7" w:rsidRDefault="001238D0">
            <w:pPr>
              <w:spacing w:after="300"/>
            </w:pPr>
            <w:r>
              <w:lastRenderedPageBreak/>
              <w:t> </w:t>
            </w:r>
          </w:p>
        </w:tc>
        <w:tc>
          <w:tcPr>
            <w:tcW w:w="1748" w:type="dxa"/>
            <w:tcBorders>
              <w:top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подпись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фамилия, и., о.</w:t>
            </w:r>
          </w:p>
        </w:tc>
      </w:tr>
      <w:tr w:rsidR="002E76B7">
        <w:tc>
          <w:tcPr>
            <w:tcW w:w="4782" w:type="dxa"/>
            <w:shd w:val="clear" w:color="auto" w:fill="auto"/>
          </w:tcPr>
          <w:p w:rsidR="002E76B7" w:rsidRDefault="001238D0">
            <w:pPr>
              <w:spacing w:after="300"/>
            </w:pPr>
            <w:r>
              <w:t>Ответственное лицо</w:t>
            </w:r>
          </w:p>
        </w:tc>
        <w:tc>
          <w:tcPr>
            <w:tcW w:w="1748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3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1" w:type="dxa"/>
            <w:tcBorders>
              <w:bottom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</w:tr>
      <w:tr w:rsidR="002E76B7">
        <w:tc>
          <w:tcPr>
            <w:tcW w:w="4782" w:type="dxa"/>
            <w:shd w:val="clear" w:color="auto" w:fill="auto"/>
          </w:tcPr>
          <w:p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748" w:type="dxa"/>
            <w:tcBorders>
              <w:top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подпись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</w:tcBorders>
            <w:shd w:val="clear" w:color="auto" w:fill="auto"/>
          </w:tcPr>
          <w:p w:rsidR="002E76B7" w:rsidRDefault="001238D0">
            <w:pPr>
              <w:spacing w:after="300"/>
            </w:pPr>
            <w:r>
              <w:t>фамилия, и., о.</w:t>
            </w:r>
          </w:p>
        </w:tc>
      </w:tr>
    </w:tbl>
    <w:p w:rsidR="002E76B7" w:rsidRDefault="001238D0">
      <w:pPr>
        <w:spacing w:beforeAutospacing="1" w:afterAutospacing="1"/>
        <w:ind w:firstLine="567"/>
        <w:jc w:val="both"/>
      </w:pPr>
      <w:r>
        <w:t>В ходе инвентаризации комиссией могут быть выявлены лекарственные средст</w:t>
      </w:r>
      <w:r>
        <w:softHyphen/>
        <w:t xml:space="preserve">ва с истекшим сроком годности. </w:t>
      </w:r>
    </w:p>
    <w:p w:rsidR="00D1295B" w:rsidRDefault="001238D0" w:rsidP="00D1295B">
      <w:pPr>
        <w:spacing w:beforeAutospacing="1" w:afterAutospacing="1"/>
        <w:ind w:firstLine="567"/>
        <w:jc w:val="both"/>
      </w:pPr>
      <w:r>
        <w:t>Лекарственные средства, пришедшие в негодность, с истекшим сроком годно</w:t>
      </w:r>
      <w:r>
        <w:softHyphen/>
        <w:t>сти и фальсифицированные подлежат уничтожению с соблюдением всех требо</w:t>
      </w:r>
      <w:r>
        <w:softHyphen/>
        <w:t xml:space="preserve">ваний, установленных законодательством. </w:t>
      </w:r>
      <w:r w:rsidR="00D1295B">
        <w:t xml:space="preserve"> </w:t>
      </w:r>
    </w:p>
    <w:p w:rsidR="002E76B7" w:rsidRDefault="001238D0" w:rsidP="00D1295B">
      <w:pPr>
        <w:spacing w:beforeAutospacing="1" w:afterAutospacing="1"/>
        <w:ind w:firstLine="567"/>
        <w:jc w:val="both"/>
      </w:pPr>
      <w:r>
        <w:t>Нормативными документами, регламентирующими порядок уничтожения ле</w:t>
      </w:r>
      <w:r>
        <w:softHyphen/>
        <w:t xml:space="preserve">карственных средств, являются: </w:t>
      </w:r>
    </w:p>
    <w:p w:rsidR="002E76B7" w:rsidRDefault="001238D0">
      <w:pPr>
        <w:spacing w:beforeAutospacing="1" w:afterAutospacing="1"/>
        <w:ind w:firstLine="567"/>
        <w:jc w:val="both"/>
      </w:pPr>
      <w:r>
        <w:rPr>
          <w:color w:val="333333"/>
          <w:kern w:val="2"/>
          <w:sz w:val="30"/>
          <w:szCs w:val="30"/>
        </w:rPr>
        <w:t xml:space="preserve">- </w:t>
      </w:r>
      <w:r>
        <w:t xml:space="preserve">постановление Правительства РФ от 15.09.2020 N 1447 «Об утверждении </w:t>
      </w:r>
      <w:proofErr w:type="gramStart"/>
      <w:r>
        <w:t>правил уничтожения</w:t>
      </w:r>
      <w:proofErr w:type="gramEnd"/>
      <w:r>
        <w:t xml:space="preserve"> изъятых фальсифицированных лекарственных средств, недоброкачественных лекарственных средств и контрафактных лекарственных средств»;</w:t>
      </w:r>
    </w:p>
    <w:p w:rsidR="002E76B7" w:rsidRDefault="001238D0" w:rsidP="000F725B">
      <w:pPr>
        <w:spacing w:beforeAutospacing="1" w:afterAutospacing="1"/>
        <w:ind w:firstLine="567"/>
        <w:jc w:val="both"/>
      </w:pPr>
      <w:r>
        <w:t xml:space="preserve">- приказ Минздрава России от </w:t>
      </w:r>
      <w:r w:rsidR="00145C5E" w:rsidRPr="00145C5E">
        <w:t>22 октября 2021 г. N 1004н</w:t>
      </w:r>
      <w:r w:rsidR="000F725B">
        <w:t xml:space="preserve"> </w:t>
      </w:r>
      <w:r>
        <w:t>“Об утверждении Инструкции по уничтожению наркотических средств и психотропных веществ, входя</w:t>
      </w:r>
      <w:r>
        <w:softHyphen/>
        <w:t xml:space="preserve">щих в списки II и III перечня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подлежащих контролю в Российской Федерации, даль</w:t>
      </w:r>
      <w:r>
        <w:softHyphen/>
        <w:t>нейшее использование которых в медицинской практике признано неце</w:t>
      </w:r>
      <w:r>
        <w:softHyphen/>
        <w:t xml:space="preserve">лесообразным”. </w:t>
      </w:r>
    </w:p>
    <w:p w:rsidR="002E76B7" w:rsidRDefault="001238D0">
      <w:pPr>
        <w:ind w:firstLine="567"/>
        <w:jc w:val="both"/>
      </w:pPr>
      <w:r>
        <w:t>Документальное оформление и отражение в бюджетном учете результатов ин</w:t>
      </w:r>
      <w:r>
        <w:softHyphen/>
        <w:t>вентаризации осуществляется в обще</w:t>
      </w:r>
      <w:r w:rsidR="00E72A9D">
        <w:t>установленном порядке согласно И</w:t>
      </w:r>
      <w:r>
        <w:t>нструкции 157н.</w:t>
      </w:r>
    </w:p>
    <w:p w:rsidR="002E76B7" w:rsidRDefault="002E76B7"/>
    <w:sectPr w:rsidR="002E76B7" w:rsidSect="009D2E07">
      <w:pgSz w:w="12240" w:h="15840" w:code="1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A0085"/>
    <w:multiLevelType w:val="multilevel"/>
    <w:tmpl w:val="5516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2FA61E10"/>
    <w:multiLevelType w:val="multilevel"/>
    <w:tmpl w:val="0C1A92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6FB099B"/>
    <w:multiLevelType w:val="multilevel"/>
    <w:tmpl w:val="5738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69A536CC"/>
    <w:multiLevelType w:val="multilevel"/>
    <w:tmpl w:val="CA1C3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B7"/>
    <w:rsid w:val="000266D3"/>
    <w:rsid w:val="000447A4"/>
    <w:rsid w:val="0009392A"/>
    <w:rsid w:val="000E29C7"/>
    <w:rsid w:val="000E49C5"/>
    <w:rsid w:val="000F725B"/>
    <w:rsid w:val="001238D0"/>
    <w:rsid w:val="00133766"/>
    <w:rsid w:val="00145C5E"/>
    <w:rsid w:val="001647C8"/>
    <w:rsid w:val="001D13E1"/>
    <w:rsid w:val="00291925"/>
    <w:rsid w:val="002A63A7"/>
    <w:rsid w:val="002C7E95"/>
    <w:rsid w:val="002E76B7"/>
    <w:rsid w:val="003D3626"/>
    <w:rsid w:val="003E7523"/>
    <w:rsid w:val="0043616E"/>
    <w:rsid w:val="00452C02"/>
    <w:rsid w:val="00482DC3"/>
    <w:rsid w:val="004E4675"/>
    <w:rsid w:val="005650EF"/>
    <w:rsid w:val="00565679"/>
    <w:rsid w:val="005751FA"/>
    <w:rsid w:val="005954B8"/>
    <w:rsid w:val="00696041"/>
    <w:rsid w:val="00697C7F"/>
    <w:rsid w:val="006E2BAE"/>
    <w:rsid w:val="007743C0"/>
    <w:rsid w:val="007A5C07"/>
    <w:rsid w:val="007C2CBB"/>
    <w:rsid w:val="007D27DF"/>
    <w:rsid w:val="007E02AA"/>
    <w:rsid w:val="008432FA"/>
    <w:rsid w:val="00871D8D"/>
    <w:rsid w:val="00875316"/>
    <w:rsid w:val="008A7032"/>
    <w:rsid w:val="009077B6"/>
    <w:rsid w:val="00913A8E"/>
    <w:rsid w:val="009C0512"/>
    <w:rsid w:val="009D2E07"/>
    <w:rsid w:val="009F5B5D"/>
    <w:rsid w:val="00A20DCA"/>
    <w:rsid w:val="00A255FC"/>
    <w:rsid w:val="00A3541B"/>
    <w:rsid w:val="00AC3532"/>
    <w:rsid w:val="00AD4430"/>
    <w:rsid w:val="00B13940"/>
    <w:rsid w:val="00B3445D"/>
    <w:rsid w:val="00B67465"/>
    <w:rsid w:val="00B940CC"/>
    <w:rsid w:val="00BC6CA2"/>
    <w:rsid w:val="00BE10CF"/>
    <w:rsid w:val="00C33AE4"/>
    <w:rsid w:val="00C948B5"/>
    <w:rsid w:val="00CB438F"/>
    <w:rsid w:val="00CC61AF"/>
    <w:rsid w:val="00CE5202"/>
    <w:rsid w:val="00D1295B"/>
    <w:rsid w:val="00DE79A1"/>
    <w:rsid w:val="00DE7ECF"/>
    <w:rsid w:val="00DF1DF7"/>
    <w:rsid w:val="00E2569C"/>
    <w:rsid w:val="00E44F22"/>
    <w:rsid w:val="00E72A9D"/>
    <w:rsid w:val="00E920CB"/>
    <w:rsid w:val="00EA5F85"/>
    <w:rsid w:val="00EB66CB"/>
    <w:rsid w:val="00EE6B9C"/>
    <w:rsid w:val="00EF392D"/>
    <w:rsid w:val="00F35E9E"/>
    <w:rsid w:val="00F571CB"/>
    <w:rsid w:val="00F941AA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6830F"/>
  <w15:docId w15:val="{CABF9201-EA22-4761-A759-550305F4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A502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EA502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A50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EA50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EA502D"/>
    <w:rPr>
      <w:i/>
      <w:iCs/>
      <w:color w:val="5B9BD5" w:themeColor="accent1"/>
    </w:rPr>
  </w:style>
  <w:style w:type="character" w:customStyle="1" w:styleId="-">
    <w:name w:val="Интернет-ссылка"/>
    <w:basedOn w:val="a0"/>
    <w:uiPriority w:val="99"/>
    <w:semiHidden/>
    <w:unhideWhenUsed/>
    <w:rsid w:val="003238BB"/>
    <w:rPr>
      <w:color w:val="0563C1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basedOn w:val="a"/>
    <w:qFormat/>
    <w:rsid w:val="00EA502D"/>
    <w:pPr>
      <w:spacing w:beforeAutospacing="1" w:afterAutospacing="1"/>
    </w:pPr>
  </w:style>
  <w:style w:type="paragraph" w:styleId="a9">
    <w:name w:val="Normal (Web)"/>
    <w:basedOn w:val="a"/>
    <w:uiPriority w:val="99"/>
    <w:semiHidden/>
    <w:unhideWhenUsed/>
    <w:qFormat/>
    <w:rsid w:val="0057048E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57048E"/>
    <w:pPr>
      <w:ind w:left="720"/>
      <w:contextualSpacing/>
    </w:pPr>
  </w:style>
  <w:style w:type="table" w:styleId="ab">
    <w:name w:val="Table Grid"/>
    <w:basedOn w:val="a1"/>
    <w:uiPriority w:val="39"/>
    <w:rsid w:val="00812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4DDE6-5EF0-4D5D-AD1B-6EC4559D0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12</Pages>
  <Words>3777</Words>
  <Characters>21531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Гончарова Е.А.</cp:lastModifiedBy>
  <cp:revision>92</cp:revision>
  <dcterms:created xsi:type="dcterms:W3CDTF">2021-12-08T21:42:00Z</dcterms:created>
  <dcterms:modified xsi:type="dcterms:W3CDTF">2024-06-18T07:04:00Z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