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40" w:rsidRDefault="00811658">
      <w:pPr>
        <w:spacing w:after="0"/>
        <w:jc w:val="right"/>
        <w:rPr>
          <w:rStyle w:val="a3"/>
          <w:i w:val="0"/>
          <w:iCs w:val="0"/>
          <w:color w:val="00000A"/>
          <w:sz w:val="20"/>
          <w:szCs w:val="20"/>
        </w:rPr>
      </w:pPr>
      <w:r>
        <w:rPr>
          <w:rStyle w:val="a3"/>
          <w:i w:val="0"/>
          <w:iCs w:val="0"/>
          <w:color w:val="00000A"/>
          <w:sz w:val="20"/>
          <w:szCs w:val="20"/>
        </w:rPr>
        <w:t>Приложение № 13</w:t>
      </w:r>
    </w:p>
    <w:p w:rsidR="00C91D40" w:rsidRDefault="00811658">
      <w:pPr>
        <w:spacing w:after="0"/>
        <w:jc w:val="right"/>
        <w:rPr>
          <w:rStyle w:val="a3"/>
          <w:i w:val="0"/>
          <w:iCs w:val="0"/>
          <w:color w:val="00000A"/>
          <w:sz w:val="20"/>
          <w:szCs w:val="20"/>
        </w:rPr>
      </w:pPr>
      <w:r>
        <w:rPr>
          <w:rStyle w:val="a3"/>
          <w:i w:val="0"/>
          <w:iCs w:val="0"/>
          <w:color w:val="00000A"/>
          <w:sz w:val="20"/>
          <w:szCs w:val="20"/>
        </w:rPr>
        <w:t xml:space="preserve">к Учетной политике в целях организации и </w:t>
      </w:r>
    </w:p>
    <w:p w:rsidR="00C91D40" w:rsidRDefault="00811658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color w:val="00000A"/>
          <w:sz w:val="20"/>
          <w:szCs w:val="20"/>
        </w:rPr>
        <w:t>ведения бухгалтерского и налогового учета</w:t>
      </w:r>
      <w:r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:rsidR="00C91D40" w:rsidRDefault="00C91D40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:rsidR="00C91D40" w:rsidRDefault="00811658">
      <w:pPr>
        <w:pStyle w:val="1"/>
        <w:jc w:val="center"/>
        <w:rPr>
          <w:rStyle w:val="a3"/>
          <w:i w:val="0"/>
          <w:iCs w:val="0"/>
          <w:color w:val="2E74B5" w:themeColor="accent1" w:themeShade="BF"/>
        </w:rPr>
      </w:pPr>
      <w:bookmarkStart w:id="0" w:name="_Приложение_№_13."/>
      <w:bookmarkStart w:id="1" w:name="_Toc533502283"/>
      <w:bookmarkEnd w:id="0"/>
      <w:bookmarkEnd w:id="1"/>
      <w:r>
        <w:rPr>
          <w:rStyle w:val="a3"/>
          <w:i w:val="0"/>
          <w:iCs w:val="0"/>
          <w:color w:val="2E74B5" w:themeColor="accent1" w:themeShade="BF"/>
        </w:rPr>
        <w:t>Приложение № 13. «Положение о комиссии по поступлению и выбытию активов»</w:t>
      </w:r>
    </w:p>
    <w:p w:rsidR="00C91D40" w:rsidRDefault="00C91D40">
      <w:pPr>
        <w:rPr>
          <w:rStyle w:val="a3"/>
          <w:i w:val="0"/>
          <w:iCs w:val="0"/>
          <w:color w:val="00000A"/>
          <w:sz w:val="24"/>
          <w:szCs w:val="24"/>
        </w:rPr>
      </w:pPr>
    </w:p>
    <w:p w:rsidR="00C91D40" w:rsidRDefault="00811658">
      <w:pPr>
        <w:ind w:firstLine="567"/>
        <w:jc w:val="center"/>
        <w:rPr>
          <w:b/>
          <w:sz w:val="24"/>
          <w:szCs w:val="24"/>
        </w:rPr>
      </w:pPr>
      <w:bookmarkStart w:id="2" w:name="_ref_1627500"/>
      <w:bookmarkEnd w:id="2"/>
      <w:r>
        <w:rPr>
          <w:b/>
          <w:sz w:val="24"/>
          <w:szCs w:val="24"/>
        </w:rPr>
        <w:t>Общие положения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" w:name="_ref_1627501"/>
      <w:bookmarkEnd w:id="3"/>
      <w:r>
        <w:rPr>
          <w:sz w:val="24"/>
          <w:szCs w:val="24"/>
        </w:rPr>
        <w:t xml:space="preserve">Состав комиссии по поступлению и выбытию активов (далее - </w:t>
      </w:r>
      <w:r>
        <w:rPr>
          <w:sz w:val="24"/>
          <w:szCs w:val="24"/>
        </w:rPr>
        <w:t>комиссия) утверждается ежегодно отдельным распорядительным актом руководителя.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4" w:name="_ref_1627502"/>
      <w:bookmarkEnd w:id="4"/>
      <w:r>
        <w:rPr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</w:t>
      </w:r>
      <w:r>
        <w:rPr>
          <w:sz w:val="24"/>
          <w:szCs w:val="24"/>
        </w:rPr>
        <w:t>ности и дает поручения членам комиссии.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5" w:name="_ref_1627503"/>
      <w:bookmarkEnd w:id="5"/>
      <w:r>
        <w:rPr>
          <w:sz w:val="24"/>
          <w:szCs w:val="24"/>
        </w:rPr>
        <w:t>Заседания комиссии проводятся по мере необходимости, но не реже одного раза в квартал.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6" w:name="_ref_1627504"/>
      <w:bookmarkEnd w:id="6"/>
      <w:r>
        <w:rPr>
          <w:sz w:val="24"/>
          <w:szCs w:val="24"/>
        </w:rPr>
        <w:t>Срок рассмотрения комиссией представленных ей документов не должен превышать 14 календарных дней.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7" w:name="_ref_1627505"/>
      <w:bookmarkEnd w:id="7"/>
      <w:r>
        <w:rPr>
          <w:sz w:val="24"/>
          <w:szCs w:val="24"/>
        </w:rPr>
        <w:t>Заседание комиссии правомочно п</w:t>
      </w:r>
      <w:r>
        <w:rPr>
          <w:sz w:val="24"/>
          <w:szCs w:val="24"/>
        </w:rPr>
        <w:t>ри наличии не менее 2/3 ее состава.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8" w:name="_ref_1627506"/>
      <w:bookmarkEnd w:id="8"/>
      <w:r>
        <w:rPr>
          <w:sz w:val="24"/>
          <w:szCs w:val="24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9" w:name="_ref_1627507"/>
      <w:bookmarkEnd w:id="9"/>
      <w:r>
        <w:rPr>
          <w:sz w:val="24"/>
          <w:szCs w:val="24"/>
        </w:rPr>
        <w:t>Экспертом не может быть лицо, отвечающее за материальные ценности,</w:t>
      </w:r>
      <w:r>
        <w:rPr>
          <w:sz w:val="24"/>
          <w:szCs w:val="24"/>
        </w:rPr>
        <w:t xml:space="preserve"> в отношении которых принимается решение о списании.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0" w:name="_ref_1627508"/>
      <w:bookmarkEnd w:id="10"/>
      <w:r>
        <w:rPr>
          <w:sz w:val="24"/>
          <w:szCs w:val="24"/>
        </w:rPr>
        <w:t>Решение комиссии оформляется протоколом, который подписывают председатель и члены комиссии, присутствовавшие на заседании.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1" w:name="_ref_1636341"/>
      <w:bookmarkEnd w:id="11"/>
      <w:r>
        <w:rPr>
          <w:sz w:val="24"/>
          <w:szCs w:val="24"/>
        </w:rPr>
        <w:t>Принятие решений по поступлению активов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2" w:name="_ref_1636342"/>
      <w:bookmarkEnd w:id="12"/>
      <w:r>
        <w:rPr>
          <w:sz w:val="24"/>
          <w:szCs w:val="24"/>
        </w:rPr>
        <w:t>В части поступления активов комиссия при</w:t>
      </w:r>
      <w:r>
        <w:rPr>
          <w:sz w:val="24"/>
          <w:szCs w:val="24"/>
        </w:rPr>
        <w:t>нимает решения по следующим вопросам: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физическое принятие активов в случаях, прямо предусмотренных внутренними актами организации;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категории нефинансовых активов (основные средства, нематериальные активы, непроизведенные активы или материальные</w:t>
      </w:r>
      <w:r>
        <w:rPr>
          <w:sz w:val="24"/>
          <w:szCs w:val="24"/>
        </w:rPr>
        <w:t xml:space="preserve"> запасы),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которой относится поступившее имущество;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справедливой стоимости безвозмездно полученного и иного имуще</w:t>
      </w:r>
      <w:r>
        <w:rPr>
          <w:sz w:val="24"/>
          <w:szCs w:val="24"/>
        </w:rPr>
        <w:t>ства в случаях, установленных нормативными актами и (или) Учетной политикой;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определение первоначальной стоимости и метода амортизации поступивших объектов нефинансовых активов;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срока полезного использования имущества в целях начисления по нему</w:t>
      </w:r>
      <w:r>
        <w:rPr>
          <w:sz w:val="24"/>
          <w:szCs w:val="24"/>
        </w:rPr>
        <w:t xml:space="preserve"> амортизации в случаях отсутствия информации в законодательстве РФ и документах производителя;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величин оценочных резервов в случаях, установленных нормативными актами и (или) Учетной политикой;</w:t>
      </w:r>
    </w:p>
    <w:p w:rsidR="00C91D40" w:rsidRDefault="00811658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изменение первоначально принятых нормативных </w:t>
      </w:r>
      <w:r>
        <w:rPr>
          <w:sz w:val="24"/>
          <w:szCs w:val="24"/>
        </w:rPr>
        <w:t>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3" w:name="_ref_1636343"/>
      <w:bookmarkEnd w:id="13"/>
      <w:r>
        <w:rPr>
          <w:sz w:val="24"/>
          <w:szCs w:val="24"/>
        </w:rPr>
        <w:t>Решение о первоначальной стоимости объектов нефинансовых активов при их приобретении, сооружении, изготов</w:t>
      </w:r>
      <w:r>
        <w:rPr>
          <w:sz w:val="24"/>
          <w:szCs w:val="24"/>
        </w:rPr>
        <w:t>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4" w:name="_ref_1636344"/>
      <w:bookmarkEnd w:id="14"/>
      <w:r>
        <w:rPr>
          <w:sz w:val="24"/>
          <w:szCs w:val="24"/>
        </w:rPr>
        <w:t>Первоначальной стоимостью нефинансовых активов, поступивших по договорам дарения, п</w:t>
      </w:r>
      <w:r>
        <w:rPr>
          <w:sz w:val="24"/>
          <w:szCs w:val="24"/>
        </w:rPr>
        <w:t>ожертвования, признается их справедливая стоимость на дату принятия к бюджетному учету.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</w:t>
      </w:r>
      <w:r>
        <w:rPr>
          <w:sz w:val="24"/>
          <w:szCs w:val="24"/>
        </w:rPr>
        <w:t>юджетному учету.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Справедливая стоимость имущества определяется комиссией по поступлению и выбытию акти</w:t>
      </w:r>
      <w:r>
        <w:rPr>
          <w:sz w:val="24"/>
          <w:szCs w:val="24"/>
        </w:rPr>
        <w:t>вов методом рыночных цен, а при невозможности использовать его - методом амортизированной стоимости замещения.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ущерба в виде потерь от порчи материальных ценностей, других сумм причиненного ущерба имуществу определяется как стоимость восстановления </w:t>
      </w:r>
      <w:r>
        <w:rPr>
          <w:sz w:val="24"/>
          <w:szCs w:val="24"/>
        </w:rPr>
        <w:t>(воспроизводства) испорченного имущества.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5" w:name="_ref_1636345"/>
      <w:bookmarkEnd w:id="15"/>
      <w:r>
        <w:rPr>
          <w:sz w:val="24"/>
          <w:szCs w:val="24"/>
        </w:rPr>
        <w:t>В случае достройки, реконструкции, модернизации объектов основных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>оизводится увеличение их первоначальной стоимости на сумму сформированных капитальных вложений в эти объекты.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Прием объектов основных сред</w:t>
      </w:r>
      <w:r>
        <w:rPr>
          <w:sz w:val="24"/>
          <w:szCs w:val="24"/>
        </w:rPr>
        <w:t>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(ф. 0504103). Частичная ликвидация объекта основных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>и выполнении работ по его ре</w:t>
      </w:r>
      <w:r>
        <w:rPr>
          <w:sz w:val="24"/>
          <w:szCs w:val="24"/>
        </w:rPr>
        <w:t>конструкции оформляется Актом приема-сдачи отремонтированных, реконструированных и модернизированных объектов основных средств (ф. 0504103).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6" w:name="_ref_1636346"/>
      <w:bookmarkEnd w:id="16"/>
      <w:r>
        <w:rPr>
          <w:sz w:val="24"/>
          <w:szCs w:val="24"/>
        </w:rPr>
        <w:t>Поступление нефинансовых активов комиссия оформляет следующими первичными учетными документами:</w:t>
      </w:r>
    </w:p>
    <w:p w:rsidR="00C91D40" w:rsidRDefault="00811658">
      <w:pPr>
        <w:pStyle w:val="a9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Актом о приеме-пере</w:t>
      </w:r>
      <w:r>
        <w:rPr>
          <w:sz w:val="24"/>
          <w:szCs w:val="24"/>
        </w:rPr>
        <w:t>даче объектов нефинансовых активов (ф. 0504101);</w:t>
      </w:r>
    </w:p>
    <w:p w:rsidR="00C91D40" w:rsidRDefault="00811658">
      <w:pPr>
        <w:pStyle w:val="a9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Приходным ордером на приемку материальных ценностей (нефинансовых активов) (ф. 0504207);</w:t>
      </w:r>
    </w:p>
    <w:p w:rsidR="00C91D40" w:rsidRDefault="00811658">
      <w:pPr>
        <w:pStyle w:val="a9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Актом приемки материалов (материальных ценностей) (ф. 0504220).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7" w:name="_ref_1636347"/>
      <w:bookmarkEnd w:id="17"/>
      <w:r>
        <w:rPr>
          <w:sz w:val="24"/>
          <w:szCs w:val="24"/>
        </w:rPr>
        <w:t>В случаях изменения первоначально принятых нормативных</w:t>
      </w:r>
      <w:r>
        <w:rPr>
          <w:sz w:val="24"/>
          <w:szCs w:val="24"/>
        </w:rPr>
        <w:t xml:space="preserve">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8" w:name="_ref_1636348"/>
      <w:bookmarkEnd w:id="18"/>
      <w:r>
        <w:rPr>
          <w:sz w:val="24"/>
          <w:szCs w:val="24"/>
        </w:rPr>
        <w:t>Присвоенный объекту инвентарны</w:t>
      </w:r>
      <w:r>
        <w:rPr>
          <w:sz w:val="24"/>
          <w:szCs w:val="24"/>
        </w:rPr>
        <w:t>й номер наносится материально ответственным лицом в присутствии уполномоченного члена комиссии в порядке, определенном Учетной политикой.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19" w:name="_ref_1645186"/>
      <w:bookmarkEnd w:id="19"/>
      <w:r>
        <w:rPr>
          <w:sz w:val="24"/>
          <w:szCs w:val="24"/>
        </w:rPr>
        <w:t>Принятие решений по выбытию (списанию) активов и списанию задолженности неплатежеспособных дебиторов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0" w:name="_ref_1645187"/>
      <w:bookmarkEnd w:id="20"/>
      <w:r>
        <w:rPr>
          <w:sz w:val="24"/>
          <w:szCs w:val="24"/>
        </w:rPr>
        <w:t>В части выбытия (</w:t>
      </w:r>
      <w:r>
        <w:rPr>
          <w:sz w:val="24"/>
          <w:szCs w:val="24"/>
        </w:rPr>
        <w:t>списания) активов и задолженности комиссия принимает решения по следующим вопросам: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>
        <w:rPr>
          <w:sz w:val="24"/>
          <w:szCs w:val="24"/>
        </w:rPr>
        <w:t>забалансовом</w:t>
      </w:r>
      <w:proofErr w:type="spellEnd"/>
      <w:r>
        <w:rPr>
          <w:sz w:val="24"/>
          <w:szCs w:val="24"/>
        </w:rPr>
        <w:t xml:space="preserve"> счете 21);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возможн</w:t>
      </w:r>
      <w:r>
        <w:rPr>
          <w:sz w:val="24"/>
          <w:szCs w:val="24"/>
        </w:rPr>
        <w:t>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частичной ликвидации (</w:t>
      </w:r>
      <w:proofErr w:type="spellStart"/>
      <w:r>
        <w:rPr>
          <w:sz w:val="24"/>
          <w:szCs w:val="24"/>
        </w:rPr>
        <w:t>разукомплектации</w:t>
      </w:r>
      <w:proofErr w:type="spellEnd"/>
      <w:r>
        <w:rPr>
          <w:sz w:val="24"/>
          <w:szCs w:val="24"/>
        </w:rPr>
        <w:t>) основных средств и об определении стоимости выбывающей части актива при его частичн</w:t>
      </w:r>
      <w:r>
        <w:rPr>
          <w:sz w:val="24"/>
          <w:szCs w:val="24"/>
        </w:rPr>
        <w:t>ой ликвидации;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пригодности дальнейшего использования имущества, возможности и эффективности его восстановления;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списании задолженности неплатежеспособных дебиторов, а также списании с </w:t>
      </w:r>
      <w:proofErr w:type="spellStart"/>
      <w:r>
        <w:rPr>
          <w:sz w:val="24"/>
          <w:szCs w:val="24"/>
        </w:rPr>
        <w:t>забалансового</w:t>
      </w:r>
      <w:proofErr w:type="spellEnd"/>
      <w:r>
        <w:rPr>
          <w:sz w:val="24"/>
          <w:szCs w:val="24"/>
        </w:rPr>
        <w:t xml:space="preserve"> учета задолженности, признанной безнадежной к взыскани</w:t>
      </w:r>
      <w:r>
        <w:rPr>
          <w:sz w:val="24"/>
          <w:szCs w:val="24"/>
        </w:rPr>
        <w:t>ю.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1" w:name="_ref_1645188"/>
      <w:bookmarkEnd w:id="21"/>
      <w:r>
        <w:rPr>
          <w:sz w:val="24"/>
          <w:szCs w:val="24"/>
        </w:rPr>
        <w:t>Решение о выбытии имущества принимается, если оно: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выбыло из владения, пользов</w:t>
      </w:r>
      <w:r>
        <w:rPr>
          <w:sz w:val="24"/>
          <w:szCs w:val="24"/>
        </w:rPr>
        <w:t xml:space="preserve">ания, распоряжения вследствие гибели или уничтожения, в том числе в результате хищения, недостачи, порчи, выявленных при инвентаризации, а </w:t>
      </w:r>
      <w:proofErr w:type="gramStart"/>
      <w:r>
        <w:rPr>
          <w:sz w:val="24"/>
          <w:szCs w:val="24"/>
        </w:rPr>
        <w:t>также</w:t>
      </w:r>
      <w:proofErr w:type="gramEnd"/>
      <w:r>
        <w:rPr>
          <w:sz w:val="24"/>
          <w:szCs w:val="24"/>
        </w:rPr>
        <w:t xml:space="preserve"> если невозможно выяснить его местонахождение;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передается государственному (муниципальному) учреждению, органу </w:t>
      </w:r>
      <w:r>
        <w:rPr>
          <w:sz w:val="24"/>
          <w:szCs w:val="24"/>
        </w:rPr>
        <w:t>государственной власти, местного самоуправления, государственному (муниципальному) предприятию;</w:t>
      </w:r>
      <w:proofErr w:type="gramEnd"/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других случаях, предусмотренных законодательством РФ.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2" w:name="_ref_1645189"/>
      <w:bookmarkEnd w:id="22"/>
      <w:r>
        <w:rPr>
          <w:sz w:val="24"/>
          <w:szCs w:val="24"/>
        </w:rPr>
        <w:lastRenderedPageBreak/>
        <w:t>Решение о списании имущества принимается комиссией после проведения следующих мероприятий: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осмотр имущес</w:t>
      </w:r>
      <w:r>
        <w:rPr>
          <w:sz w:val="24"/>
          <w:szCs w:val="24"/>
        </w:rPr>
        <w:t>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установление причин списания имущества: физический и (или) моральный износ, нарушение условий содержания и (или) эксплуатации</w:t>
      </w:r>
      <w:r>
        <w:rPr>
          <w:sz w:val="24"/>
          <w:szCs w:val="24"/>
        </w:rPr>
        <w:t>, авария, стихийное бедствие, длительное неиспользование имущества, иные причины;</w:t>
      </w:r>
      <w:proofErr w:type="gramEnd"/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C91D40" w:rsidRDefault="00811658">
      <w:pPr>
        <w:pStyle w:val="a9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подготовка документов, необходимых для п</w:t>
      </w:r>
      <w:r>
        <w:rPr>
          <w:sz w:val="24"/>
          <w:szCs w:val="24"/>
        </w:rPr>
        <w:t>ринятия решения о списании имущества.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3" w:name="_ref_1645190"/>
      <w:bookmarkEnd w:id="23"/>
      <w:r>
        <w:rPr>
          <w:sz w:val="24"/>
          <w:szCs w:val="24"/>
        </w:rPr>
        <w:t xml:space="preserve">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>
        <w:rPr>
          <w:sz w:val="24"/>
          <w:szCs w:val="24"/>
        </w:rPr>
        <w:t>забалансовый</w:t>
      </w:r>
      <w:proofErr w:type="spellEnd"/>
      <w:r>
        <w:rPr>
          <w:sz w:val="24"/>
          <w:szCs w:val="24"/>
        </w:rPr>
        <w:t xml:space="preserve"> учет.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о списании задолженности с </w:t>
      </w:r>
      <w:proofErr w:type="spellStart"/>
      <w:r>
        <w:rPr>
          <w:sz w:val="24"/>
          <w:szCs w:val="24"/>
        </w:rPr>
        <w:t>забалансового</w:t>
      </w:r>
      <w:proofErr w:type="spellEnd"/>
      <w:r>
        <w:rPr>
          <w:sz w:val="24"/>
          <w:szCs w:val="24"/>
        </w:rPr>
        <w:t xml:space="preserve"> счет</w:t>
      </w:r>
      <w:r>
        <w:rPr>
          <w:sz w:val="24"/>
          <w:szCs w:val="24"/>
        </w:rPr>
        <w:t>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4" w:name="_ref_1645191"/>
      <w:bookmarkEnd w:id="24"/>
      <w:r>
        <w:rPr>
          <w:sz w:val="24"/>
          <w:szCs w:val="24"/>
        </w:rPr>
        <w:t>Выбытие (списание) нефинансовых активов оформляется следующими документами:</w:t>
      </w:r>
    </w:p>
    <w:p w:rsidR="00C91D40" w:rsidRDefault="00811658">
      <w:pPr>
        <w:pStyle w:val="a9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Акт о пр</w:t>
      </w:r>
      <w:r>
        <w:rPr>
          <w:sz w:val="24"/>
          <w:szCs w:val="24"/>
        </w:rPr>
        <w:t>иеме-передаче объектов нефинансовых активов (ф. 0504101);</w:t>
      </w:r>
    </w:p>
    <w:p w:rsidR="00C91D40" w:rsidRDefault="00811658">
      <w:pPr>
        <w:pStyle w:val="a9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Акт о списании объектов нефинансовых активов (кроме транспортных средств) (ф. 0504104);</w:t>
      </w:r>
    </w:p>
    <w:p w:rsidR="00C91D40" w:rsidRDefault="00811658">
      <w:pPr>
        <w:pStyle w:val="a9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Акт о списании транспортного средства (ф. 0504105);</w:t>
      </w:r>
    </w:p>
    <w:p w:rsidR="00C91D40" w:rsidRDefault="00811658">
      <w:pPr>
        <w:pStyle w:val="a9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Акт о списании мягкого и хозяйственного инвентаря (ф. 0504</w:t>
      </w:r>
      <w:r>
        <w:rPr>
          <w:sz w:val="24"/>
          <w:szCs w:val="24"/>
        </w:rPr>
        <w:t>143);</w:t>
      </w:r>
    </w:p>
    <w:p w:rsidR="00C91D40" w:rsidRDefault="00811658">
      <w:pPr>
        <w:pStyle w:val="a9"/>
        <w:numPr>
          <w:ilvl w:val="0"/>
          <w:numId w:val="4"/>
        </w:numPr>
        <w:jc w:val="both"/>
      </w:pPr>
      <w:r>
        <w:rPr>
          <w:sz w:val="24"/>
          <w:szCs w:val="24"/>
        </w:rPr>
        <w:t>Акт о списании материальных запасов (ф. 0504230)</w:t>
      </w:r>
    </w:p>
    <w:p w:rsidR="00C91D40" w:rsidRPr="00D72E0F" w:rsidRDefault="00811658">
      <w:pPr>
        <w:pStyle w:val="a9"/>
        <w:numPr>
          <w:ilvl w:val="0"/>
          <w:numId w:val="4"/>
        </w:numPr>
        <w:jc w:val="both"/>
      </w:pPr>
      <w:r w:rsidRPr="00D72E0F">
        <w:rPr>
          <w:sz w:val="24"/>
          <w:szCs w:val="24"/>
        </w:rPr>
        <w:t>Требование-накладная на внутреннее перемещение материальных запасов (ф.  0504204)</w:t>
      </w:r>
    </w:p>
    <w:p w:rsidR="00C91D40" w:rsidRPr="00D72E0F" w:rsidRDefault="00811658">
      <w:pPr>
        <w:pStyle w:val="a9"/>
        <w:numPr>
          <w:ilvl w:val="0"/>
          <w:numId w:val="4"/>
        </w:numPr>
        <w:jc w:val="both"/>
      </w:pPr>
      <w:r w:rsidRPr="00D72E0F">
        <w:rPr>
          <w:sz w:val="24"/>
          <w:szCs w:val="24"/>
        </w:rPr>
        <w:t>Ведомость выдачи материальных ценностей на нужды учреждения (ф.0504210)</w:t>
      </w:r>
    </w:p>
    <w:p w:rsidR="00C91D40" w:rsidRDefault="00C91D40">
      <w:pPr>
        <w:pStyle w:val="a9"/>
        <w:ind w:left="200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5" w:name="_ref_1645192"/>
      <w:bookmarkEnd w:id="25"/>
      <w:r>
        <w:rPr>
          <w:sz w:val="24"/>
          <w:szCs w:val="24"/>
        </w:rPr>
        <w:t>Оформленный комиссией акт о списании имущества</w:t>
      </w:r>
      <w:r>
        <w:rPr>
          <w:sz w:val="24"/>
          <w:szCs w:val="24"/>
        </w:rPr>
        <w:t xml:space="preserve"> утверждается руководителем.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6" w:name="_ref_1645193"/>
      <w:bookmarkEnd w:id="26"/>
      <w:r>
        <w:rPr>
          <w:sz w:val="24"/>
          <w:szCs w:val="24"/>
        </w:rPr>
        <w:t>До утверждения в установленном порядке акта о списании реализация мероприятий, предусмотренных этим актом, не допускается.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Реализация мероприятий осуществляется самостоятельно либо с привлечением третьих лиц на основании </w:t>
      </w:r>
      <w:r>
        <w:rPr>
          <w:sz w:val="24"/>
          <w:szCs w:val="24"/>
        </w:rPr>
        <w:t>заключенного договора и подтверждается комиссией.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7" w:name="_ref_1654026"/>
      <w:bookmarkEnd w:id="27"/>
      <w:r>
        <w:rPr>
          <w:sz w:val="24"/>
          <w:szCs w:val="24"/>
        </w:rPr>
        <w:t>Принятие решений по вопросам обесценения активов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8" w:name="_ref_1654027"/>
      <w:bookmarkEnd w:id="28"/>
      <w:r>
        <w:rPr>
          <w:sz w:val="24"/>
          <w:szCs w:val="24"/>
        </w:rPr>
        <w:lastRenderedPageBreak/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29" w:name="_ref_1654028"/>
      <w:bookmarkEnd w:id="29"/>
      <w:r>
        <w:rPr>
          <w:sz w:val="24"/>
          <w:szCs w:val="24"/>
        </w:rPr>
        <w:t>Е</w:t>
      </w:r>
      <w:r>
        <w:rPr>
          <w:sz w:val="24"/>
          <w:szCs w:val="24"/>
        </w:rPr>
        <w:t>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</w:t>
      </w:r>
      <w:r>
        <w:rPr>
          <w:sz w:val="24"/>
          <w:szCs w:val="24"/>
        </w:rPr>
        <w:t>ижения убытка), или об отсутствии такой необходимости.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0" w:name="_ref_1654029"/>
      <w:bookmarkEnd w:id="30"/>
      <w:r>
        <w:rPr>
          <w:sz w:val="24"/>
          <w:szCs w:val="24"/>
        </w:rP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1" w:name="_ref_1654030"/>
      <w:bookmarkEnd w:id="31"/>
      <w:r>
        <w:rPr>
          <w:sz w:val="24"/>
          <w:szCs w:val="24"/>
        </w:rPr>
        <w:t xml:space="preserve">В случае необходимости </w:t>
      </w:r>
      <w:r>
        <w:rPr>
          <w:sz w:val="24"/>
          <w:szCs w:val="24"/>
        </w:rPr>
        <w:t>определить справедливую стоимость комиссия утверждает метод, который будет при этом использоваться.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2" w:name="_ref_1654031"/>
      <w:bookmarkEnd w:id="32"/>
      <w:r>
        <w:rPr>
          <w:sz w:val="24"/>
          <w:szCs w:val="24"/>
        </w:rP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</w:t>
      </w:r>
      <w:r>
        <w:rPr>
          <w:sz w:val="24"/>
          <w:szCs w:val="24"/>
        </w:rPr>
        <w:t>я руководителя.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3" w:name="_ref_1654032"/>
      <w:bookmarkEnd w:id="33"/>
      <w:r>
        <w:rPr>
          <w:sz w:val="24"/>
          <w:szCs w:val="24"/>
        </w:rPr>
        <w:t>В представление могут быть включены рекомендации комиссии по дальнейшему использованию имущества.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bookmarkStart w:id="34" w:name="_ref_1654033"/>
      <w:bookmarkStart w:id="35" w:name="_docEnd_8"/>
      <w:bookmarkEnd w:id="34"/>
      <w:bookmarkEnd w:id="35"/>
      <w:r>
        <w:rPr>
          <w:sz w:val="24"/>
          <w:szCs w:val="24"/>
        </w:rPr>
        <w:t xml:space="preserve">Если выявлены признаки снижения убытка от обесценения, а сумма убытка не подлежит восстановлению, комиссия выносит заключение о необходимости </w:t>
      </w:r>
      <w:r>
        <w:rPr>
          <w:sz w:val="24"/>
          <w:szCs w:val="24"/>
        </w:rPr>
        <w:t>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C91D40" w:rsidRDefault="00C91D40">
      <w:pPr>
        <w:ind w:firstLine="56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принятия решения об определении справедливой стоимости активов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Справедливая стоимость акт</w:t>
      </w:r>
      <w:r>
        <w:rPr>
          <w:sz w:val="24"/>
          <w:szCs w:val="24"/>
        </w:rPr>
        <w:t xml:space="preserve">ива определяется методом рыночных цен в следующих случаях: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безвозмездном поступлении имущества от организаций (за исключением государственных или муниципальных) и от физических лиц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выявлении излишков по результатам инвентаризации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принятии к </w:t>
      </w:r>
      <w:r>
        <w:rPr>
          <w:sz w:val="24"/>
          <w:szCs w:val="24"/>
        </w:rPr>
        <w:t>учету деталей, узлов, механизмов от списания основных средств, а также лома, ветоши, макулатуры, остающихся от списания или ремонта нефинансовых активов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принятии к учету спецоборудования или экспериментальных устройств, остающихся у учреждения после ок</w:t>
      </w:r>
      <w:r>
        <w:rPr>
          <w:sz w:val="24"/>
          <w:szCs w:val="24"/>
        </w:rPr>
        <w:t>ончания НИР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иных случаях, когда согласно единой методологии бюджетного учета и бюджетной отчетности, установленной в соответствии с бюджетным законодательством РФ, и Инструкцией о порядке составления, представления годовой, квартальной бухгалтерской отче</w:t>
      </w:r>
      <w:r>
        <w:rPr>
          <w:sz w:val="24"/>
          <w:szCs w:val="24"/>
        </w:rPr>
        <w:t xml:space="preserve">тности государственных (муниципальных) бюджетных и автономных учреждений требуется определение </w:t>
      </w:r>
      <w:r>
        <w:rPr>
          <w:b/>
          <w:i/>
          <w:sz w:val="24"/>
          <w:szCs w:val="24"/>
        </w:rPr>
        <w:t>оценочной стоимости имущества</w:t>
      </w:r>
      <w:r>
        <w:rPr>
          <w:sz w:val="24"/>
          <w:szCs w:val="24"/>
        </w:rPr>
        <w:t xml:space="preserve"> </w:t>
      </w:r>
      <w:proofErr w:type="gramEnd"/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Справедливая стоимость актива определяется методом амортизированной стоимости замещения при применении СГС «Обесценение активов» в</w:t>
      </w:r>
      <w:r>
        <w:rPr>
          <w:sz w:val="24"/>
          <w:szCs w:val="24"/>
        </w:rPr>
        <w:t xml:space="preserve"> случае если определить справедливую стоимость для оценки величины обесценения представляется Комиссии затруднительным.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определении справедливой стоимости методом рыночных цен в целях принятия к бухгалтерскому учету объекта нефинансовых активов Комисс</w:t>
      </w:r>
      <w:r>
        <w:rPr>
          <w:sz w:val="24"/>
          <w:szCs w:val="24"/>
        </w:rPr>
        <w:t>ией используются: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Данные о ценах на аналогичные материальные ценности, полученные в письменной форме от организаций-изготовителей или продавцов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принятии решения для новых объектов – используются сведения не менее чем из трех прайс-листов разных организ</w:t>
      </w:r>
      <w:r>
        <w:rPr>
          <w:sz w:val="24"/>
          <w:szCs w:val="24"/>
        </w:rPr>
        <w:t>аций-изготовителей (продавцов) путем расчета среднего арифметического. Используемые прайс-листы (коммерческие предложения) прикладываются к решению Комиссии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принятии решения для </w:t>
      </w:r>
      <w:proofErr w:type="gramStart"/>
      <w:r>
        <w:rPr>
          <w:sz w:val="24"/>
          <w:szCs w:val="24"/>
        </w:rPr>
        <w:t>объектов</w:t>
      </w:r>
      <w:proofErr w:type="gramEnd"/>
      <w:r>
        <w:rPr>
          <w:sz w:val="24"/>
          <w:szCs w:val="24"/>
        </w:rPr>
        <w:t xml:space="preserve"> бывших в эксплуатации – используются сведения из специализированн</w:t>
      </w:r>
      <w:r>
        <w:rPr>
          <w:sz w:val="24"/>
          <w:szCs w:val="24"/>
        </w:rPr>
        <w:t>ых сайтов объявлений (</w:t>
      </w:r>
      <w:proofErr w:type="spellStart"/>
      <w:r>
        <w:rPr>
          <w:sz w:val="24"/>
          <w:szCs w:val="24"/>
          <w:lang w:val="en-US"/>
        </w:rPr>
        <w:t>avito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irr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auto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youla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io</w:t>
      </w:r>
      <w:proofErr w:type="spellEnd"/>
      <w:r>
        <w:rPr>
          <w:sz w:val="24"/>
          <w:szCs w:val="24"/>
        </w:rPr>
        <w:t xml:space="preserve"> и аналогичных перечисленным), путем расчета среднего арифметического не менее чем из трех объявлений. Использованные при расчете объявления прикладываются к решению Комиссии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об уровне цен, </w:t>
      </w:r>
      <w:r>
        <w:rPr>
          <w:sz w:val="24"/>
          <w:szCs w:val="24"/>
        </w:rPr>
        <w:t>имеющиеся у органов государственной статистики. В данном случае к решению Комиссии прикладывается официальный ответ от органа статистики или сведения с официального сайта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Иные сведения об уровне цен, полученные из средств массовой информации (в том числе и</w:t>
      </w:r>
      <w:r>
        <w:rPr>
          <w:sz w:val="24"/>
          <w:szCs w:val="24"/>
        </w:rPr>
        <w:t xml:space="preserve"> из сети </w:t>
      </w:r>
      <w:r>
        <w:rPr>
          <w:sz w:val="24"/>
          <w:szCs w:val="24"/>
          <w:lang w:val="en-US"/>
        </w:rPr>
        <w:t>Internet</w:t>
      </w:r>
      <w:r>
        <w:rPr>
          <w:sz w:val="24"/>
          <w:szCs w:val="24"/>
        </w:rPr>
        <w:t>) и специальной литературы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Экспертные заключения (в том числе экспертов, привлеченных на добровольных началах к работе в Комиссии) о стоимости отдельных (аналогичных) объектов нефинансовых активов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данные о ценах на аналогичны</w:t>
      </w:r>
      <w:r>
        <w:rPr>
          <w:sz w:val="24"/>
          <w:szCs w:val="24"/>
        </w:rPr>
        <w:t xml:space="preserve">е или схожие материальные ценности по каким-либо причинам недоступны, то для своевременного отражения операции в бухгалтерском учете </w:t>
      </w:r>
      <w:proofErr w:type="gramStart"/>
      <w:r>
        <w:rPr>
          <w:sz w:val="24"/>
          <w:szCs w:val="24"/>
        </w:rPr>
        <w:t>применятся</w:t>
      </w:r>
      <w:proofErr w:type="gramEnd"/>
      <w:r>
        <w:rPr>
          <w:sz w:val="24"/>
          <w:szCs w:val="24"/>
        </w:rPr>
        <w:t xml:space="preserve"> оценочная стоимость в условной оценке равной одному рублю. После получения оценки, Комиссия осуществляет пересмо</w:t>
      </w:r>
      <w:r>
        <w:rPr>
          <w:sz w:val="24"/>
          <w:szCs w:val="24"/>
        </w:rPr>
        <w:t xml:space="preserve">тр ранее установленной стоимости (п. 25 Инструкции 157н).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Определение справедливой стоимости арендных платежей для объектов учета операционной аренды (п. 27.1 Приказа 258н) производится в порядке, установленном п. 6 настоящего Положения. При этом берутся </w:t>
      </w:r>
      <w:r>
        <w:rPr>
          <w:sz w:val="24"/>
          <w:szCs w:val="24"/>
        </w:rPr>
        <w:t>данные не менее чем из трех коммерческих предложений по аренде аналогичного объекта имущества за весь срок пользования объектом.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справедливой стоимости методом амортизированной стоимости замещения осуществляется в соответствии с п. 56 Приказа 2</w:t>
      </w:r>
      <w:r>
        <w:rPr>
          <w:sz w:val="24"/>
          <w:szCs w:val="24"/>
        </w:rPr>
        <w:t xml:space="preserve">56н. При этом стоимость полной замены актива рассчитывается на основе рыночной цены покупки аналогичного актива, определяемой в соответствии с п. 6 настоящего Положения. </w:t>
      </w:r>
    </w:p>
    <w:p w:rsidR="00C91D40" w:rsidRDefault="00C91D40">
      <w:pPr>
        <w:ind w:firstLine="56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принятия решения об определении кода ОКОФ и срока полезного использования ос</w:t>
      </w:r>
      <w:r>
        <w:rPr>
          <w:b/>
          <w:sz w:val="24"/>
          <w:szCs w:val="24"/>
        </w:rPr>
        <w:t>новных средств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Группировка объектов основных средств, принимаемых к учету с 1 января 2017 года, осуществляется в соответствии с группировкой, предусмотренной Общероссийским классификатором основных фондов ОКОФ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013-2014 (СНС)) и сроками полезного исполь</w:t>
      </w:r>
      <w:r>
        <w:rPr>
          <w:sz w:val="24"/>
          <w:szCs w:val="24"/>
        </w:rPr>
        <w:t xml:space="preserve">зования, определенными положениями постановления Правительства Российской Федерации от 1 января 2002 г. N 1 "О классификации основных средств, включаемых в амортизационные группы" (в редакции постановления Правительства Российской Федерации от 7 июля </w:t>
      </w:r>
      <w:proofErr w:type="gramStart"/>
      <w:r>
        <w:rPr>
          <w:sz w:val="24"/>
          <w:szCs w:val="24"/>
        </w:rPr>
        <w:t xml:space="preserve">2016 </w:t>
      </w:r>
      <w:r>
        <w:rPr>
          <w:sz w:val="24"/>
          <w:szCs w:val="24"/>
        </w:rPr>
        <w:t>г. N 640).</w:t>
      </w:r>
      <w:proofErr w:type="gramEnd"/>
      <w:r>
        <w:rPr>
          <w:sz w:val="24"/>
          <w:szCs w:val="24"/>
        </w:rPr>
        <w:t xml:space="preserve"> В случае невозможности однозначного определения кода ОКОФ для таких основных фондов, Комиссия: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Определяет код ОКОФ в соответствии с Классификатором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013-94, а затем переводит указанный код в соответствии с Приказом Федерального агентства по т</w:t>
      </w:r>
      <w:r>
        <w:rPr>
          <w:sz w:val="24"/>
          <w:szCs w:val="24"/>
        </w:rPr>
        <w:t>ехническому регулированию и метрологии от 21 апреля 2016 г. N 458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наличия противоречий в применении прямого (обратного) переходных ключей, утвержденных Приказом N 458, и ОКОФ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013-2014 (СНС), а также отсутствия позиций в новых кодах ОКОФ ОК </w:t>
      </w:r>
      <w:r>
        <w:rPr>
          <w:sz w:val="24"/>
          <w:szCs w:val="24"/>
        </w:rPr>
        <w:t>013-2014 (СНС) для объектов учета, ранее включаемых в группы материальных ценностей, по своим критериям являющихся основными средствами, комиссия по поступлению и выбытию активов субъекта учета может принимать самостоятельное решение по отнесению указанных</w:t>
      </w:r>
      <w:r>
        <w:rPr>
          <w:sz w:val="24"/>
          <w:szCs w:val="24"/>
        </w:rPr>
        <w:t xml:space="preserve"> объектов к соответствующей группе кодов ОКОФ </w:t>
      </w:r>
      <w:proofErr w:type="gramStart"/>
      <w:r>
        <w:rPr>
          <w:sz w:val="24"/>
          <w:szCs w:val="24"/>
        </w:rPr>
        <w:t>ОК</w:t>
      </w:r>
      <w:proofErr w:type="gramEnd"/>
      <w:r>
        <w:rPr>
          <w:sz w:val="24"/>
          <w:szCs w:val="24"/>
        </w:rPr>
        <w:t xml:space="preserve"> 013-2014 (СНС)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Срок полезного использования поступающего актива при отсутствии в законодательстве РФ норм, устанавливающих сроки полезного использования имущества в целях начисления амортизации (в том числе в случае, когда примененный код ОКОФ одновременно определен в не</w:t>
      </w:r>
      <w:r>
        <w:rPr>
          <w:sz w:val="24"/>
          <w:szCs w:val="24"/>
        </w:rPr>
        <w:t xml:space="preserve">скольких амортизационных группах), а также в случаях отсутствия информации в документах производителя устанавливается решением Комиссии на основании: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Ожидаемого срока использования этого объекта в соответствии с ожидаемой производительностью или мощностью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Ожидаемого физического износа, зависящего от режима эксплуатации, естественных условий и влияния агрессивной среды, системы проведения ремонта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Нормативно-правовых и других ограничений использования этого объекта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Гарантийного срока использования объекта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</w:t>
      </w:r>
      <w:r>
        <w:rPr>
          <w:sz w:val="24"/>
          <w:szCs w:val="24"/>
        </w:rPr>
        <w:t xml:space="preserve">ок полезного использования по активам, бывшим в употреблении и полученным учреждением безвозмездно от юридических (физических) лиц, не являющихся субъектами бюджетного учета и от физических лиц, определяется Комиссией аналогично п. 9 настоящего Положения. </w:t>
      </w:r>
    </w:p>
    <w:p w:rsidR="00C91D40" w:rsidRDefault="00C91D40">
      <w:pPr>
        <w:ind w:firstLine="56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принятия решения об изменении первоначальной стоимости активов (основных средств)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Изменение балансовой стоимости объекта основных средств после его признания в бухгалтерском учете возможно в случаях:</w:t>
      </w:r>
    </w:p>
    <w:p w:rsidR="00C91D40" w:rsidRDefault="00811658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достройки, дооборудования, реконструкции, в то</w:t>
      </w:r>
      <w:r>
        <w:rPr>
          <w:sz w:val="24"/>
          <w:szCs w:val="24"/>
        </w:rPr>
        <w:t>м числе с элементами реставрации, технического перевооружения, модернизации, частичной ликвидации (</w:t>
      </w:r>
      <w:proofErr w:type="spellStart"/>
      <w:r>
        <w:rPr>
          <w:sz w:val="24"/>
          <w:szCs w:val="24"/>
        </w:rPr>
        <w:t>разукомплектации</w:t>
      </w:r>
      <w:proofErr w:type="spellEnd"/>
      <w:r>
        <w:rPr>
          <w:sz w:val="24"/>
          <w:szCs w:val="24"/>
        </w:rPr>
        <w:t>)</w:t>
      </w:r>
    </w:p>
    <w:p w:rsidR="00C91D40" w:rsidRDefault="00811658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замещения (частичной замены в рамках капитального ремонта в целях реконструкции, технического перевооружения, модернизации) объекта или его</w:t>
      </w:r>
      <w:r>
        <w:rPr>
          <w:sz w:val="24"/>
          <w:szCs w:val="24"/>
        </w:rPr>
        <w:t xml:space="preserve"> составной части</w:t>
      </w:r>
    </w:p>
    <w:p w:rsidR="00C91D40" w:rsidRDefault="00811658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переоценки объектов основных средств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Разукомплектация</w:t>
      </w:r>
      <w:proofErr w:type="spellEnd"/>
      <w:r>
        <w:rPr>
          <w:sz w:val="24"/>
          <w:szCs w:val="24"/>
        </w:rPr>
        <w:t xml:space="preserve"> и частичная ликвидация основных средств оформляется решением Комиссии и оформляется Актом о </w:t>
      </w:r>
      <w:proofErr w:type="spellStart"/>
      <w:r>
        <w:rPr>
          <w:sz w:val="24"/>
          <w:szCs w:val="24"/>
        </w:rPr>
        <w:t>разукомплектации</w:t>
      </w:r>
      <w:proofErr w:type="spellEnd"/>
      <w:r>
        <w:rPr>
          <w:sz w:val="24"/>
          <w:szCs w:val="24"/>
        </w:rPr>
        <w:t xml:space="preserve">. При этом Комиссией определяется: </w:t>
      </w:r>
    </w:p>
    <w:p w:rsidR="00C91D40" w:rsidRDefault="00811658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балансовая стоимость объектов, остающихся</w:t>
      </w:r>
      <w:r>
        <w:rPr>
          <w:sz w:val="24"/>
          <w:szCs w:val="24"/>
        </w:rPr>
        <w:t xml:space="preserve"> после </w:t>
      </w:r>
      <w:proofErr w:type="spellStart"/>
      <w:r>
        <w:rPr>
          <w:sz w:val="24"/>
          <w:szCs w:val="24"/>
        </w:rPr>
        <w:t>разукомплектации</w:t>
      </w:r>
      <w:proofErr w:type="spellEnd"/>
      <w:r>
        <w:rPr>
          <w:sz w:val="24"/>
          <w:szCs w:val="24"/>
        </w:rPr>
        <w:t>, а также суммы начисленной амортизации, относящиеся к этим объектам</w:t>
      </w:r>
    </w:p>
    <w:p w:rsidR="00C91D40" w:rsidRDefault="00811658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стоимости частей, списываемых из объекта и амортизация, относящаяся к этим частям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определении списываемых частей объекта основных средств, их стоимость (как ча</w:t>
      </w:r>
      <w:r>
        <w:rPr>
          <w:sz w:val="24"/>
          <w:szCs w:val="24"/>
        </w:rPr>
        <w:t xml:space="preserve">сть стоимости объекта основных средств) определяется: </w:t>
      </w:r>
    </w:p>
    <w:p w:rsidR="00C91D40" w:rsidRDefault="00811658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документам поставщика, полученным при принятии объекта к учету </w:t>
      </w:r>
    </w:p>
    <w:p w:rsidR="00C91D40" w:rsidRDefault="00811658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документов поставщика – по справедливой стоимости, определяемой методом рыночных цен (с учетом срока использования объе</w:t>
      </w:r>
      <w:r>
        <w:rPr>
          <w:sz w:val="24"/>
          <w:szCs w:val="24"/>
        </w:rPr>
        <w:t xml:space="preserve">кта) в соответствии с п. 6 настоящего Положения </w:t>
      </w:r>
    </w:p>
    <w:p w:rsidR="00C91D40" w:rsidRDefault="00811658">
      <w:pPr>
        <w:pStyle w:val="a9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отсутствии документов поставщика и при невозможности определения справедливой стоимости – на основании экспертного заключения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Если после признания объекта основных средств (формирования первоначальной с</w:t>
      </w:r>
      <w:r>
        <w:rPr>
          <w:sz w:val="24"/>
          <w:szCs w:val="24"/>
        </w:rPr>
        <w:t xml:space="preserve">тоимости объекта основных средств) в его балансовую стоимость включаются затраты на замену части объекта, то остаточная стоимость замененной (выбывшей) части объекта основных средств должна быть отнесена на финансовый результат текущего периода (списана с </w:t>
      </w:r>
      <w:r>
        <w:rPr>
          <w:sz w:val="24"/>
          <w:szCs w:val="24"/>
        </w:rPr>
        <w:t>бухгалтерского учета) вне зависимости от того, амортизировалась ли эта часть объекта основных средств отдельно или нет.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 случае, когда определить остаточную стоимость замененной части объекта основных средств не представляется возможным, величина относимо</w:t>
      </w:r>
      <w:r>
        <w:rPr>
          <w:sz w:val="24"/>
          <w:szCs w:val="24"/>
        </w:rPr>
        <w:t xml:space="preserve">й на финансовый результат текущего периода остаточной стоимости, замененной (выбывшей) части объекта основных средств может быть эквивалентна затратам на ее замену (приобретения или строительства) на момент их признания (п. 50 Приказа 257н). </w:t>
      </w:r>
      <w:proofErr w:type="gramEnd"/>
    </w:p>
    <w:p w:rsidR="00C91D40" w:rsidRDefault="00C91D40">
      <w:pPr>
        <w:ind w:firstLine="56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прин</w:t>
      </w:r>
      <w:r>
        <w:rPr>
          <w:b/>
          <w:sz w:val="24"/>
          <w:szCs w:val="24"/>
        </w:rPr>
        <w:t>ятия решения о списании активов (основных средств)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Выбытие объектов нефинансовых активов оформляется по основаниям, определенным решением Комиссии. При этом 100% амортизация объекта не является основанием для их выбытия.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Выбытие объекта основных сре</w:t>
      </w:r>
      <w:proofErr w:type="gramStart"/>
      <w:r>
        <w:rPr>
          <w:sz w:val="24"/>
          <w:szCs w:val="24"/>
        </w:rPr>
        <w:t>дств п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оизводится при прекращении получения экономических выгод или полезного потенциала от дальнейшего использования:</w:t>
      </w:r>
    </w:p>
    <w:p w:rsidR="00C91D40" w:rsidRDefault="00811658">
      <w:pPr>
        <w:pStyle w:val="a9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случае поломки при невозможности или экономической нецелесообразности ремонта объекта</w:t>
      </w:r>
    </w:p>
    <w:p w:rsidR="00C91D40" w:rsidRDefault="00811658">
      <w:pPr>
        <w:pStyle w:val="a9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причине полного физического или морального износа </w:t>
      </w:r>
    </w:p>
    <w:p w:rsidR="00C91D40" w:rsidRDefault="00811658">
      <w:pPr>
        <w:pStyle w:val="a9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иных случаях, обоснованных в решении Комиссии о списании </w:t>
      </w:r>
    </w:p>
    <w:p w:rsidR="00C91D40" w:rsidRDefault="00C91D40">
      <w:pPr>
        <w:ind w:firstLine="567"/>
        <w:jc w:val="both"/>
        <w:rPr>
          <w:sz w:val="24"/>
          <w:szCs w:val="24"/>
        </w:rPr>
      </w:pP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списании: </w:t>
      </w:r>
    </w:p>
    <w:p w:rsidR="00C91D40" w:rsidRDefault="00811658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Объектов, пришедших в негодное состояние в результате аварий, пожаров, стихийных бедствий и иных чрезвычайных ситуациях, к документу о списании прилагаются документы, подтверждающи</w:t>
      </w:r>
      <w:r>
        <w:rPr>
          <w:sz w:val="24"/>
          <w:szCs w:val="24"/>
        </w:rPr>
        <w:t>е вышеуказанные обстоятельства (копии актов соответствующих учреждений)</w:t>
      </w:r>
    </w:p>
    <w:p w:rsidR="00C91D40" w:rsidRDefault="00811658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Мебели и иных объектов хозяйственного и мягкого инвентаря – решение о списании принимается Комиссией только после личного осмотра и получения заключения профильного сотрудника учрежден</w:t>
      </w:r>
      <w:r>
        <w:rPr>
          <w:sz w:val="24"/>
          <w:szCs w:val="24"/>
        </w:rPr>
        <w:t>ия о невозможности ремонта указанного имущества</w:t>
      </w:r>
    </w:p>
    <w:p w:rsidR="00C91D40" w:rsidRDefault="00811658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Мелкой бытовой техники и электроники </w:t>
      </w:r>
      <w:r>
        <w:rPr>
          <w:sz w:val="24"/>
          <w:szCs w:val="24"/>
        </w:rPr>
        <w:t xml:space="preserve"> – решение о списании принимается после получения заключения профильного сотрудника учреждения о невозможности ремонта указанного имущества. А</w:t>
      </w:r>
      <w:r>
        <w:rPr>
          <w:sz w:val="24"/>
          <w:szCs w:val="24"/>
        </w:rPr>
        <w:t xml:space="preserve"> при отсутствии в штате Учреждения профильного сотрудника – после получения технического заключения мастерских по ремонту бытовой техники или дефектной ведомости о невозможности восстановления</w:t>
      </w:r>
    </w:p>
    <w:p w:rsidR="00C91D40" w:rsidRDefault="00811658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Крупной бытовой техники и дорогостоящей электроники </w:t>
      </w:r>
      <w:r>
        <w:rPr>
          <w:sz w:val="24"/>
          <w:szCs w:val="24"/>
        </w:rPr>
        <w:t xml:space="preserve"> - к документу о списании объекта прилагается техническое заключение мастерских по ремонту бытовой техники или дефектная ведомость о невозможности восстановления</w:t>
      </w:r>
      <w:r w:rsidR="00D1252B">
        <w:rPr>
          <w:sz w:val="24"/>
          <w:szCs w:val="24"/>
        </w:rPr>
        <w:t>.</w:t>
      </w:r>
    </w:p>
    <w:p w:rsidR="00D1252B" w:rsidRDefault="00D1252B">
      <w:pPr>
        <w:pStyle w:val="a9"/>
        <w:numPr>
          <w:ilvl w:val="0"/>
          <w:numId w:val="9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Особо ценное движимое имущество стоимостью более 200 000,00 рублей необходимо согласование с учредителем (собственником) имущества, согласно приказа № 222 от 20 августа 2012 года « О списании, передаче, реализации объектов основных средств территориальных органов, федеральных бюджетных учреждений, федеральных казенных учреждений, федеральных государственных унитарных предприятий, находящихся в ведении ФМБА России, и ц</w:t>
      </w:r>
      <w:r w:rsidR="00811658">
        <w:rPr>
          <w:sz w:val="24"/>
          <w:szCs w:val="24"/>
        </w:rPr>
        <w:t>ентрального аппарат ФМБА России».</w:t>
      </w:r>
      <w:bookmarkStart w:id="36" w:name="_GoBack"/>
      <w:bookmarkEnd w:id="36"/>
      <w:proofErr w:type="gramEnd"/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необходимости согласования факта распоряжения имуществом с учред</w:t>
      </w:r>
      <w:r>
        <w:rPr>
          <w:sz w:val="24"/>
          <w:szCs w:val="24"/>
        </w:rPr>
        <w:t xml:space="preserve">ителем (собственником) имущества, Комиссия подготавливает соответствующие документы для направления учредителю (собственнику) имущества. </w:t>
      </w:r>
    </w:p>
    <w:p w:rsidR="00C91D40" w:rsidRDefault="0081165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Ответственность за формирование Комиссии несет руководитель учреждения. </w:t>
      </w:r>
    </w:p>
    <w:p w:rsidR="00C91D40" w:rsidRDefault="00811658">
      <w:pPr>
        <w:ind w:firstLine="567"/>
        <w:jc w:val="both"/>
      </w:pPr>
      <w:r>
        <w:rPr>
          <w:sz w:val="24"/>
          <w:szCs w:val="24"/>
        </w:rPr>
        <w:t>Ответственность за определения справедливой (</w:t>
      </w:r>
      <w:r>
        <w:rPr>
          <w:sz w:val="24"/>
          <w:szCs w:val="24"/>
        </w:rPr>
        <w:t>оценочной) стоимости и срока полезного использования согласно несут члены Комиссии.</w:t>
      </w:r>
    </w:p>
    <w:sectPr w:rsidR="00C91D4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81766"/>
    <w:multiLevelType w:val="multilevel"/>
    <w:tmpl w:val="AB4C0CF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3663258B"/>
    <w:multiLevelType w:val="multilevel"/>
    <w:tmpl w:val="07A45B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7A32F55"/>
    <w:multiLevelType w:val="multilevel"/>
    <w:tmpl w:val="F698C88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3A853756"/>
    <w:multiLevelType w:val="multilevel"/>
    <w:tmpl w:val="3F3A21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3D1E7627"/>
    <w:multiLevelType w:val="multilevel"/>
    <w:tmpl w:val="EEB2D9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3ECF540C"/>
    <w:multiLevelType w:val="multilevel"/>
    <w:tmpl w:val="320A18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40512451"/>
    <w:multiLevelType w:val="multilevel"/>
    <w:tmpl w:val="BD66A29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55E6317D"/>
    <w:multiLevelType w:val="multilevel"/>
    <w:tmpl w:val="9F64613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62577738"/>
    <w:multiLevelType w:val="multilevel"/>
    <w:tmpl w:val="E81C185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>
    <w:nsid w:val="717E41C6"/>
    <w:multiLevelType w:val="multilevel"/>
    <w:tmpl w:val="0532A6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40"/>
    <w:rsid w:val="00811658"/>
    <w:rsid w:val="00B04BF1"/>
    <w:rsid w:val="00C91D40"/>
    <w:rsid w:val="00D1252B"/>
    <w:rsid w:val="00D7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CD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031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031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031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6031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6031CD"/>
    <w:rPr>
      <w:i/>
      <w:iCs/>
      <w:color w:val="5B9BD5" w:themeColor="accent1"/>
    </w:rPr>
  </w:style>
  <w:style w:type="character" w:customStyle="1" w:styleId="-">
    <w:name w:val="Интернет-ссылка"/>
    <w:uiPriority w:val="99"/>
    <w:unhideWhenUsed/>
    <w:rsid w:val="006031CD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004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CD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6031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031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031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6031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6031CD"/>
    <w:rPr>
      <w:i/>
      <w:iCs/>
      <w:color w:val="5B9BD5" w:themeColor="accent1"/>
    </w:rPr>
  </w:style>
  <w:style w:type="character" w:customStyle="1" w:styleId="-">
    <w:name w:val="Интернет-ссылка"/>
    <w:uiPriority w:val="99"/>
    <w:unhideWhenUsed/>
    <w:rsid w:val="006031CD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004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3095</Words>
  <Characters>17644</Characters>
  <Application>Microsoft Office Word</Application>
  <DocSecurity>0</DocSecurity>
  <Lines>147</Lines>
  <Paragraphs>41</Paragraphs>
  <ScaleCrop>false</ScaleCrop>
  <Company/>
  <LinksUpToDate>false</LinksUpToDate>
  <CharactersWithSpaces>20698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Беляева И.А.</cp:lastModifiedBy>
  <cp:revision>8</cp:revision>
  <dcterms:created xsi:type="dcterms:W3CDTF">2018-12-25T22:25:00Z</dcterms:created>
  <dcterms:modified xsi:type="dcterms:W3CDTF">2022-10-07T11:17:00Z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