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3BA" w:rsidRPr="00E347B0" w:rsidRDefault="007903BA" w:rsidP="007903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E347B0">
        <w:rPr>
          <w:rStyle w:val="a3"/>
          <w:i w:val="0"/>
          <w:iCs w:val="0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sz w:val="20"/>
          <w:szCs w:val="20"/>
        </w:rPr>
        <w:t>7</w:t>
      </w:r>
    </w:p>
    <w:p w:rsidR="007903BA" w:rsidRPr="00E347B0" w:rsidRDefault="007903BA" w:rsidP="007903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E347B0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7903BA" w:rsidRPr="008C55F3" w:rsidRDefault="007903BA" w:rsidP="007903BA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E347B0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</w:p>
    <w:p w:rsidR="007903BA" w:rsidRDefault="007903BA" w:rsidP="007903BA">
      <w:pPr>
        <w:pStyle w:val="2"/>
        <w:rPr>
          <w:rStyle w:val="a3"/>
          <w:i w:val="0"/>
          <w:iCs w:val="0"/>
        </w:rPr>
      </w:pPr>
    </w:p>
    <w:p w:rsidR="007903BA" w:rsidRPr="006058D3" w:rsidRDefault="007903BA" w:rsidP="007903BA">
      <w:pPr>
        <w:pStyle w:val="1"/>
        <w:jc w:val="center"/>
        <w:rPr>
          <w:rStyle w:val="a3"/>
          <w:i w:val="0"/>
          <w:iCs w:val="0"/>
        </w:rPr>
      </w:pPr>
      <w:bookmarkStart w:id="0" w:name="_Приложение_№_7."/>
      <w:bookmarkStart w:id="1" w:name="_Toc533502277"/>
      <w:bookmarkEnd w:id="0"/>
      <w:r w:rsidRPr="006058D3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7</w:t>
      </w:r>
      <w:r w:rsidRPr="006058D3">
        <w:rPr>
          <w:rStyle w:val="a3"/>
          <w:i w:val="0"/>
          <w:iCs w:val="0"/>
        </w:rPr>
        <w:t>. «</w:t>
      </w:r>
      <w:r w:rsidRPr="0094439A">
        <w:t>Периодичность формирования регистров бухгалтерского учета</w:t>
      </w:r>
      <w:r>
        <w:t xml:space="preserve"> </w:t>
      </w:r>
      <w:r w:rsidRPr="0094439A">
        <w:t>на бумажных носителях</w:t>
      </w:r>
      <w:r w:rsidRPr="006058D3">
        <w:rPr>
          <w:rStyle w:val="a3"/>
          <w:i w:val="0"/>
          <w:iCs w:val="0"/>
        </w:rPr>
        <w:t>»</w:t>
      </w:r>
      <w:bookmarkEnd w:id="1"/>
    </w:p>
    <w:p w:rsidR="007903BA" w:rsidRDefault="007903BA" w:rsidP="007903BA">
      <w:pPr>
        <w:ind w:left="1416" w:firstLine="708"/>
        <w:rPr>
          <w:rFonts w:ascii="Cambria" w:hAnsi="Cambria" w:cs="Times New Roman"/>
          <w:sz w:val="24"/>
          <w:szCs w:val="24"/>
        </w:rPr>
      </w:pPr>
    </w:p>
    <w:p w:rsidR="007903BA" w:rsidRPr="0094439A" w:rsidRDefault="007903BA" w:rsidP="007903BA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18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20" w:firstRow="1" w:lastRow="0" w:firstColumn="0" w:lastColumn="0" w:noHBand="0" w:noVBand="0"/>
      </w:tblPr>
      <w:tblGrid>
        <w:gridCol w:w="612"/>
        <w:gridCol w:w="1510"/>
        <w:gridCol w:w="5522"/>
        <w:gridCol w:w="2274"/>
      </w:tblGrid>
      <w:tr w:rsidR="007903BA" w:rsidRPr="00C15EBA" w:rsidTr="0017596B">
        <w:trPr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03BA" w:rsidRPr="00E137A8" w:rsidRDefault="007903BA" w:rsidP="0017596B">
            <w:pPr>
              <w:jc w:val="center"/>
            </w:pPr>
            <w:r w:rsidRPr="00E137A8">
              <w:t>N п/п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03BA" w:rsidRPr="00E137A8" w:rsidRDefault="007903BA" w:rsidP="0017596B">
            <w:pPr>
              <w:jc w:val="center"/>
            </w:pPr>
            <w:r w:rsidRPr="00E137A8">
              <w:t>Код формы документа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03BA" w:rsidRPr="00E137A8" w:rsidRDefault="007903BA" w:rsidP="0017596B">
            <w:pPr>
              <w:jc w:val="center"/>
            </w:pPr>
            <w:r w:rsidRPr="00E137A8">
              <w:t>Наименование регистра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903BA" w:rsidRPr="00E137A8" w:rsidRDefault="007903BA" w:rsidP="0017596B">
            <w:pPr>
              <w:jc w:val="center"/>
            </w:pPr>
            <w:r w:rsidRPr="00E137A8">
              <w:t>Периодичность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Инвентарная карточка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Инвентарная карточка группового учета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Ежеквартально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Оборотная ведомость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регистрации боя посуды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A11748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</w:t>
            </w:r>
            <w:r w:rsidR="00A11748">
              <w:rPr>
                <w:sz w:val="24"/>
                <w:szCs w:val="24"/>
              </w:rPr>
              <w:t>520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A11748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расходах подотчетного лица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необходимости формирования регистра</w:t>
            </w:r>
          </w:p>
        </w:tc>
        <w:bookmarkStart w:id="2" w:name="_GoBack"/>
        <w:bookmarkEnd w:id="2"/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карточек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0504053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сдачи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необходимости формирования регистра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proofErr w:type="spellStart"/>
            <w:r w:rsidRPr="00C15EBA">
              <w:rPr>
                <w:sz w:val="24"/>
                <w:szCs w:val="24"/>
              </w:rPr>
              <w:t>Многографная</w:t>
            </w:r>
            <w:proofErr w:type="spellEnd"/>
            <w:r w:rsidRPr="00C15EBA">
              <w:rPr>
                <w:sz w:val="24"/>
                <w:szCs w:val="24"/>
              </w:rPr>
              <w:t xml:space="preserve"> карточка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0504055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20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0504064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21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0504071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Журналы операций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0504072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Главная книга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23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24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0504086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25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0504087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26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0504088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0504089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28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0504091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  <w:tr w:rsidR="007903BA" w:rsidRPr="00C15EBA" w:rsidTr="0017596B">
        <w:trPr>
          <w:jc w:val="center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29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0504092</w:t>
            </w:r>
          </w:p>
        </w:tc>
        <w:tc>
          <w:tcPr>
            <w:tcW w:w="55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2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03BA" w:rsidRPr="00C15EBA" w:rsidRDefault="007903BA" w:rsidP="0017596B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</w:tr>
    </w:tbl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BA"/>
    <w:rsid w:val="007903BA"/>
    <w:rsid w:val="00A11748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DF41"/>
  <w15:chartTrackingRefBased/>
  <w15:docId w15:val="{CD8CAF5D-ED7B-4074-A6ED-8F8F699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3BA"/>
  </w:style>
  <w:style w:type="paragraph" w:styleId="1">
    <w:name w:val="heading 1"/>
    <w:basedOn w:val="a"/>
    <w:next w:val="a"/>
    <w:link w:val="10"/>
    <w:uiPriority w:val="9"/>
    <w:qFormat/>
    <w:rsid w:val="00790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0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7903BA"/>
    <w:rPr>
      <w:i/>
      <w:iCs/>
      <w:color w:val="5B9BD5" w:themeColor="accent1"/>
    </w:rPr>
  </w:style>
  <w:style w:type="paragraph" w:customStyle="1" w:styleId="ConsPlusNormal">
    <w:name w:val="ConsPlusNormal"/>
    <w:rsid w:val="00790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2</cp:revision>
  <cp:lastPrinted>2024-04-25T07:56:00Z</cp:lastPrinted>
  <dcterms:created xsi:type="dcterms:W3CDTF">2018-12-25T22:21:00Z</dcterms:created>
  <dcterms:modified xsi:type="dcterms:W3CDTF">2024-04-25T07:57:00Z</dcterms:modified>
</cp:coreProperties>
</file>