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Запись ко ВСЕМ специалистам доступна в полном объёме при записи через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портал ЕПГУ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686868"/>
            <w:spacing w:val="0"/>
            <w:position w:val="0"/>
            <w:sz w:val="23"/>
            <w:u w:val="single"/>
            <w:shd w:fill="FFFFFF" w:val="clear"/>
          </w:rPr>
          <w:t xml:space="preserve">www.gosuslugi.ru</w:t>
        </w:r>
      </w:hyperlink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 (через ветку </w:t>
      </w: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«</w:t>
      </w: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По прикреплению ФМБА</w:t>
      </w: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»)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call-</w:t>
      </w: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центр,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инфоматы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и при обращении в регистратуру.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  <w:t xml:space="preserve">Правила подготовки к исследованиям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686868"/>
          <w:spacing w:val="0"/>
          <w:position w:val="0"/>
          <w:sz w:val="23"/>
          <w:shd w:fill="FFFFFF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686868"/>
            <w:spacing w:val="0"/>
            <w:position w:val="0"/>
            <w:sz w:val="23"/>
            <w:u w:val="single"/>
            <w:shd w:fill="FFFFFF" w:val="clear"/>
          </w:rPr>
          <w:t xml:space="preserve">https://kb33fmba.ru/wp-content/uploads/2018/08/pravila-podgotovki-k-issledovanijam.pdf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osuslugi.ru/" Id="docRId0" Type="http://schemas.openxmlformats.org/officeDocument/2006/relationships/hyperlink" /><Relationship TargetMode="External" Target="https://kb33fmba.ru/wp-content/uploads/2018/08/pravila-podgotovki-k-issledovanijam.pdf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